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8BFB" w14:textId="77777777" w:rsidR="001C2C91" w:rsidRDefault="00BE38A8" w:rsidP="00C36986">
      <w:pPr>
        <w:spacing w:before="160" w:line="276" w:lineRule="auto"/>
        <w:rPr>
          <w:rFonts w:ascii="Century Gothic" w:eastAsia="Cambria" w:hAnsi="Century Gothic" w:cs="Cambria"/>
          <w:b/>
          <w:bCs/>
          <w:sz w:val="24"/>
          <w:szCs w:val="24"/>
        </w:rPr>
      </w:pPr>
      <w:bookmarkStart w:id="0" w:name="_Hlk40106631"/>
      <w:r>
        <w:rPr>
          <w:rFonts w:ascii="Century Gothic" w:eastAsia="Cambria" w:hAnsi="Century Gothic" w:cs="Cambria"/>
          <w:b/>
          <w:bCs/>
          <w:sz w:val="24"/>
          <w:szCs w:val="24"/>
        </w:rPr>
        <w:t xml:space="preserve">Mark Scheme </w:t>
      </w:r>
      <w:r w:rsidR="00C36986" w:rsidRPr="007B72CD">
        <w:rPr>
          <w:rFonts w:ascii="Century Gothic" w:eastAsia="Cambria" w:hAnsi="Century Gothic" w:cs="Cambria"/>
          <w:b/>
          <w:bCs/>
          <w:sz w:val="24"/>
          <w:szCs w:val="24"/>
        </w:rPr>
        <w:t xml:space="preserve">Guidance </w:t>
      </w:r>
      <w:r>
        <w:rPr>
          <w:rFonts w:ascii="Century Gothic" w:eastAsia="Cambria" w:hAnsi="Century Gothic" w:cs="Cambria"/>
          <w:b/>
          <w:bCs/>
          <w:sz w:val="24"/>
          <w:szCs w:val="24"/>
        </w:rPr>
        <w:t>N</w:t>
      </w:r>
      <w:r w:rsidR="00C36986" w:rsidRPr="007B72CD">
        <w:rPr>
          <w:rFonts w:ascii="Century Gothic" w:eastAsia="Cambria" w:hAnsi="Century Gothic" w:cs="Cambria"/>
          <w:b/>
          <w:bCs/>
          <w:sz w:val="24"/>
          <w:szCs w:val="24"/>
        </w:rPr>
        <w:t>otes</w:t>
      </w:r>
      <w:r>
        <w:rPr>
          <w:rFonts w:ascii="Century Gothic" w:eastAsia="Cambria" w:hAnsi="Century Gothic" w:cs="Cambria"/>
          <w:b/>
          <w:bCs/>
          <w:sz w:val="24"/>
          <w:szCs w:val="24"/>
        </w:rPr>
        <w:t>:</w:t>
      </w:r>
    </w:p>
    <w:p w14:paraId="2DA1B8FC" w14:textId="748B84A9" w:rsidR="001C2C91" w:rsidRPr="001C2C91" w:rsidRDefault="001C2C91" w:rsidP="00FC4DFD">
      <w:pPr>
        <w:spacing w:before="160" w:line="276" w:lineRule="auto"/>
        <w:rPr>
          <w:rFonts w:ascii="Century Gothic" w:eastAsia="Cambria" w:hAnsi="Century Gothic" w:cs="Cambria"/>
        </w:rPr>
      </w:pPr>
      <w:r w:rsidRPr="001C2C91">
        <w:rPr>
          <w:rFonts w:ascii="Century Gothic" w:eastAsia="Cambria" w:hAnsi="Century Gothic" w:cs="Cambria"/>
          <w:lang w:val="en-US"/>
        </w:rPr>
        <w:t xml:space="preserve">We use standardised mark schemes for Humanities and Social Sciences and STEM placements – different versions of the mark scheme are available for </w:t>
      </w:r>
      <w:r w:rsidR="00B61AB6">
        <w:rPr>
          <w:rFonts w:ascii="Century Gothic" w:eastAsia="Cambria" w:hAnsi="Century Gothic" w:cs="Cambria"/>
          <w:lang w:val="en-US"/>
        </w:rPr>
        <w:t>Key Stages 2-3 and Kay Stages 4-5</w:t>
      </w:r>
      <w:r w:rsidRPr="001C2C91">
        <w:rPr>
          <w:rFonts w:ascii="Century Gothic" w:eastAsia="Cambria" w:hAnsi="Century Gothic" w:cs="Cambria"/>
          <w:lang w:val="en-US"/>
        </w:rPr>
        <w:t>. Across our mark schemes, we measure three key outcomes</w:t>
      </w:r>
      <w:r w:rsidR="007D4491">
        <w:rPr>
          <w:rFonts w:ascii="Century Gothic" w:eastAsia="Cambria" w:hAnsi="Century Gothic" w:cs="Cambria"/>
          <w:lang w:val="en-US"/>
        </w:rPr>
        <w:t xml:space="preserve">: </w:t>
      </w:r>
      <w:r w:rsidR="00FC4DFD">
        <w:rPr>
          <w:rFonts w:ascii="Century Gothic" w:eastAsia="Cambria" w:hAnsi="Century Gothic" w:cs="Cambria"/>
          <w:lang w:val="en-US"/>
        </w:rPr>
        <w:t xml:space="preserve">written communication, subject knowledge, and critical thinking. </w:t>
      </w:r>
      <w:r w:rsidR="0071009D">
        <w:rPr>
          <w:rFonts w:ascii="Century Gothic" w:eastAsia="Cambria" w:hAnsi="Century Gothic" w:cs="Cambria"/>
          <w:lang w:val="en-US"/>
        </w:rPr>
        <w:t xml:space="preserve">Further information about how to </w:t>
      </w:r>
      <w:r w:rsidR="0C449FBD" w:rsidRPr="28F38652">
        <w:rPr>
          <w:rFonts w:ascii="Century Gothic" w:eastAsia="Cambria" w:hAnsi="Century Gothic" w:cs="Cambria"/>
          <w:lang w:val="en-US"/>
        </w:rPr>
        <w:t>use</w:t>
      </w:r>
      <w:r w:rsidR="0071009D">
        <w:rPr>
          <w:rFonts w:ascii="Century Gothic" w:eastAsia="Cambria" w:hAnsi="Century Gothic" w:cs="Cambria"/>
          <w:lang w:val="en-US"/>
        </w:rPr>
        <w:t xml:space="preserve"> the </w:t>
      </w:r>
      <w:r w:rsidR="0C449FBD" w:rsidRPr="28F38652">
        <w:rPr>
          <w:rFonts w:ascii="Century Gothic" w:eastAsia="Cambria" w:hAnsi="Century Gothic" w:cs="Cambria"/>
          <w:lang w:val="en-US"/>
        </w:rPr>
        <w:t>mark schemes</w:t>
      </w:r>
      <w:r w:rsidR="0071009D">
        <w:rPr>
          <w:rFonts w:ascii="Century Gothic" w:eastAsia="Cambria" w:hAnsi="Century Gothic" w:cs="Cambria"/>
          <w:lang w:val="en-US"/>
        </w:rPr>
        <w:t xml:space="preserve"> is provided below. </w:t>
      </w:r>
    </w:p>
    <w:p w14:paraId="43D73A11" w14:textId="68F36041" w:rsidR="00C36986" w:rsidRPr="007B72CD" w:rsidRDefault="00C36986" w:rsidP="00C36986">
      <w:pPr>
        <w:spacing w:before="160" w:line="276" w:lineRule="auto"/>
        <w:rPr>
          <w:rFonts w:ascii="Century Gothic" w:eastAsia="Cambria" w:hAnsi="Century Gothic" w:cs="Cambria"/>
          <w:b/>
          <w:bCs/>
          <w:color w:val="FF0000"/>
          <w:sz w:val="24"/>
          <w:szCs w:val="24"/>
        </w:rPr>
      </w:pPr>
      <w:r w:rsidRPr="007B72CD">
        <w:rPr>
          <w:rFonts w:ascii="Century Gothic" w:eastAsia="Cambria" w:hAnsi="Century Gothic" w:cs="Cambria"/>
          <w:b/>
          <w:bCs/>
          <w:sz w:val="24"/>
          <w:szCs w:val="24"/>
        </w:rPr>
        <w:t xml:space="preserve"> </w:t>
      </w:r>
    </w:p>
    <w:p w14:paraId="32DB759E" w14:textId="77777777" w:rsidR="00C36986" w:rsidRPr="00C36986" w:rsidRDefault="00C36986" w:rsidP="00C36986">
      <w:pPr>
        <w:numPr>
          <w:ilvl w:val="0"/>
          <w:numId w:val="1"/>
        </w:numPr>
        <w:spacing w:before="160" w:line="276" w:lineRule="auto"/>
        <w:contextualSpacing/>
        <w:rPr>
          <w:rFonts w:ascii="Century Gothic" w:eastAsia="Cambria" w:hAnsi="Century Gothic" w:cs="Cambria"/>
          <w:b/>
          <w:bCs/>
        </w:rPr>
      </w:pPr>
      <w:r w:rsidRPr="00C36986">
        <w:rPr>
          <w:rFonts w:ascii="Century Gothic" w:eastAsia="Cambria" w:hAnsi="Century Gothic" w:cs="Cambria"/>
          <w:b/>
          <w:bCs/>
        </w:rPr>
        <w:t>How do I approach the marking process?</w:t>
      </w:r>
    </w:p>
    <w:p w14:paraId="283C0744" w14:textId="77777777" w:rsidR="00C36986" w:rsidRPr="00C36986" w:rsidRDefault="00C36986" w:rsidP="00C36986">
      <w:pPr>
        <w:spacing w:before="160" w:line="276" w:lineRule="auto"/>
        <w:rPr>
          <w:rFonts w:ascii="Century Gothic" w:eastAsia="Cambria" w:hAnsi="Century Gothic" w:cs="Cambria"/>
        </w:rPr>
      </w:pPr>
      <w:r w:rsidRPr="00C36986">
        <w:rPr>
          <w:rFonts w:ascii="Century Gothic" w:eastAsia="Cambria" w:hAnsi="Century Gothic" w:cs="Cambria"/>
        </w:rPr>
        <w:t xml:space="preserve">When reading the pupil’s work try to identify aspects in the work that show evidence of the skills described in the mark scheme. Use this process to make a </w:t>
      </w:r>
      <w:r w:rsidRPr="00C36986">
        <w:rPr>
          <w:rFonts w:ascii="Century Gothic" w:eastAsia="Cambria" w:hAnsi="Century Gothic" w:cs="Cambria"/>
          <w:b/>
          <w:bCs/>
          <w:u w:val="single"/>
        </w:rPr>
        <w:t>holistic judgement</w:t>
      </w:r>
      <w:r w:rsidRPr="00C36986">
        <w:rPr>
          <w:rFonts w:ascii="Century Gothic" w:eastAsia="Cambria" w:hAnsi="Century Gothic" w:cs="Cambria"/>
        </w:rPr>
        <w:t xml:space="preserve"> of the grade in which the work best fits in each column. </w:t>
      </w:r>
    </w:p>
    <w:p w14:paraId="21EF7F84" w14:textId="77777777" w:rsidR="00C36986" w:rsidRPr="00C36986" w:rsidRDefault="00C36986" w:rsidP="00C36986">
      <w:pPr>
        <w:spacing w:before="160" w:line="276" w:lineRule="auto"/>
        <w:rPr>
          <w:rFonts w:ascii="Century Gothic" w:eastAsia="Cambria" w:hAnsi="Century Gothic" w:cs="Cambria"/>
        </w:rPr>
      </w:pPr>
      <w:r w:rsidRPr="00C36986">
        <w:rPr>
          <w:rFonts w:ascii="Century Gothic" w:eastAsia="Cambria" w:hAnsi="Century Gothic" w:cs="Cambria"/>
        </w:rPr>
        <w:t>Consider whether the work falls within each grade boundary. You can score any mark within the ranges below:</w:t>
      </w:r>
    </w:p>
    <w:tbl>
      <w:tblPr>
        <w:tblStyle w:val="TableGridLight1"/>
        <w:tblpPr w:leftFromText="180" w:rightFromText="180" w:vertAnchor="text" w:horzAnchor="margin" w:tblpXSpec="center" w:tblpY="276"/>
        <w:tblW w:w="0" w:type="auto"/>
        <w:tblLook w:val="04A0" w:firstRow="1" w:lastRow="0" w:firstColumn="1" w:lastColumn="0" w:noHBand="0" w:noVBand="1"/>
      </w:tblPr>
      <w:tblGrid>
        <w:gridCol w:w="2972"/>
        <w:gridCol w:w="2972"/>
      </w:tblGrid>
      <w:tr w:rsidR="00C36986" w:rsidRPr="00C36986" w14:paraId="289CA3C7" w14:textId="77777777" w:rsidTr="00C36986">
        <w:tc>
          <w:tcPr>
            <w:tcW w:w="2972" w:type="dxa"/>
            <w:shd w:val="clear" w:color="auto" w:fill="F53764"/>
          </w:tcPr>
          <w:p w14:paraId="7BFBAD30" w14:textId="77777777" w:rsidR="00C36986" w:rsidRPr="00C36986" w:rsidRDefault="00C36986" w:rsidP="00C36986">
            <w:pPr>
              <w:spacing w:before="160" w:line="276" w:lineRule="auto"/>
              <w:rPr>
                <w:rFonts w:ascii="Century Gothic" w:eastAsia="Calibri" w:hAnsi="Century Gothic" w:cs="Arial"/>
                <w:b/>
                <w:bCs/>
                <w:color w:val="FFFFFF"/>
              </w:rPr>
            </w:pPr>
            <w:r w:rsidRPr="00C36986">
              <w:rPr>
                <w:rFonts w:ascii="Century Gothic" w:eastAsia="Calibri" w:hAnsi="Century Gothic" w:cs="Arial"/>
                <w:b/>
                <w:bCs/>
                <w:color w:val="FFFFFF"/>
              </w:rPr>
              <w:t>Marks</w:t>
            </w:r>
          </w:p>
        </w:tc>
        <w:tc>
          <w:tcPr>
            <w:tcW w:w="2972" w:type="dxa"/>
            <w:shd w:val="clear" w:color="auto" w:fill="F53764"/>
          </w:tcPr>
          <w:p w14:paraId="012FFA29" w14:textId="77777777" w:rsidR="00C36986" w:rsidRPr="00C36986" w:rsidRDefault="00C36986" w:rsidP="00C36986">
            <w:pPr>
              <w:spacing w:before="160" w:line="276" w:lineRule="auto"/>
              <w:rPr>
                <w:rFonts w:ascii="Century Gothic" w:eastAsia="Calibri" w:hAnsi="Century Gothic" w:cs="Arial"/>
                <w:b/>
                <w:bCs/>
                <w:color w:val="FFFFFF"/>
              </w:rPr>
            </w:pPr>
            <w:r w:rsidRPr="00C36986">
              <w:rPr>
                <w:rFonts w:ascii="Century Gothic" w:eastAsia="Calibri" w:hAnsi="Century Gothic" w:cs="Arial"/>
                <w:b/>
                <w:bCs/>
                <w:color w:val="FFFFFF"/>
              </w:rPr>
              <w:t>Grade</w:t>
            </w:r>
          </w:p>
        </w:tc>
      </w:tr>
      <w:tr w:rsidR="00C36986" w:rsidRPr="00C36986" w14:paraId="462171C3" w14:textId="77777777" w:rsidTr="00E577EE">
        <w:tc>
          <w:tcPr>
            <w:tcW w:w="2972" w:type="dxa"/>
          </w:tcPr>
          <w:p w14:paraId="1C43DB91"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0-39</w:t>
            </w:r>
          </w:p>
        </w:tc>
        <w:tc>
          <w:tcPr>
            <w:tcW w:w="2972" w:type="dxa"/>
          </w:tcPr>
          <w:p w14:paraId="724B1996"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Working towards a pass</w:t>
            </w:r>
          </w:p>
        </w:tc>
      </w:tr>
      <w:tr w:rsidR="00C36986" w:rsidRPr="00C36986" w14:paraId="065A2605" w14:textId="77777777" w:rsidTr="00E577EE">
        <w:tc>
          <w:tcPr>
            <w:tcW w:w="2972" w:type="dxa"/>
          </w:tcPr>
          <w:p w14:paraId="0C16150B"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40-49</w:t>
            </w:r>
          </w:p>
        </w:tc>
        <w:tc>
          <w:tcPr>
            <w:tcW w:w="2972" w:type="dxa"/>
          </w:tcPr>
          <w:p w14:paraId="4631FA3F"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3</w:t>
            </w:r>
            <w:r w:rsidRPr="00C36986">
              <w:rPr>
                <w:rFonts w:ascii="Century Gothic" w:eastAsia="Calibri" w:hAnsi="Century Gothic" w:cs="Arial"/>
                <w:vertAlign w:val="superscript"/>
              </w:rPr>
              <w:t>rd</w:t>
            </w:r>
            <w:r w:rsidRPr="00C36986">
              <w:rPr>
                <w:rFonts w:ascii="Century Gothic" w:eastAsia="Calibri" w:hAnsi="Century Gothic" w:cs="Arial"/>
              </w:rPr>
              <w:t xml:space="preserve"> </w:t>
            </w:r>
          </w:p>
        </w:tc>
      </w:tr>
      <w:tr w:rsidR="00C36986" w:rsidRPr="00C36986" w14:paraId="5AA5F460" w14:textId="77777777" w:rsidTr="00E577EE">
        <w:tc>
          <w:tcPr>
            <w:tcW w:w="2972" w:type="dxa"/>
          </w:tcPr>
          <w:p w14:paraId="4B714D35"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50-59</w:t>
            </w:r>
          </w:p>
        </w:tc>
        <w:tc>
          <w:tcPr>
            <w:tcW w:w="2972" w:type="dxa"/>
          </w:tcPr>
          <w:p w14:paraId="54ABB75B"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2:2</w:t>
            </w:r>
          </w:p>
        </w:tc>
      </w:tr>
      <w:tr w:rsidR="00C36986" w:rsidRPr="00C36986" w14:paraId="44A60990" w14:textId="77777777" w:rsidTr="00E577EE">
        <w:tc>
          <w:tcPr>
            <w:tcW w:w="2972" w:type="dxa"/>
          </w:tcPr>
          <w:p w14:paraId="2B9CEA4E"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50-69</w:t>
            </w:r>
          </w:p>
        </w:tc>
        <w:tc>
          <w:tcPr>
            <w:tcW w:w="2972" w:type="dxa"/>
          </w:tcPr>
          <w:p w14:paraId="3DD58D99"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2:1</w:t>
            </w:r>
          </w:p>
        </w:tc>
      </w:tr>
      <w:tr w:rsidR="00C36986" w:rsidRPr="00C36986" w14:paraId="5921D672" w14:textId="77777777" w:rsidTr="00E577EE">
        <w:tc>
          <w:tcPr>
            <w:tcW w:w="2972" w:type="dxa"/>
          </w:tcPr>
          <w:p w14:paraId="30C9B121"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70+</w:t>
            </w:r>
          </w:p>
        </w:tc>
        <w:tc>
          <w:tcPr>
            <w:tcW w:w="2972" w:type="dxa"/>
          </w:tcPr>
          <w:p w14:paraId="449D1455" w14:textId="77777777" w:rsidR="00C36986" w:rsidRPr="00C36986" w:rsidRDefault="00C36986" w:rsidP="00C36986">
            <w:pPr>
              <w:spacing w:before="160" w:line="276" w:lineRule="auto"/>
              <w:rPr>
                <w:rFonts w:ascii="Century Gothic" w:eastAsia="Calibri" w:hAnsi="Century Gothic" w:cs="Arial"/>
              </w:rPr>
            </w:pPr>
            <w:r w:rsidRPr="00C36986">
              <w:rPr>
                <w:rFonts w:ascii="Century Gothic" w:eastAsia="Calibri" w:hAnsi="Century Gothic" w:cs="Arial"/>
              </w:rPr>
              <w:t>1</w:t>
            </w:r>
            <w:r w:rsidRPr="00C36986">
              <w:rPr>
                <w:rFonts w:ascii="Century Gothic" w:eastAsia="Calibri" w:hAnsi="Century Gothic" w:cs="Arial"/>
                <w:vertAlign w:val="superscript"/>
              </w:rPr>
              <w:t>st</w:t>
            </w:r>
            <w:r w:rsidRPr="00C36986">
              <w:rPr>
                <w:rFonts w:ascii="Century Gothic" w:eastAsia="Calibri" w:hAnsi="Century Gothic" w:cs="Arial"/>
              </w:rPr>
              <w:t xml:space="preserve"> </w:t>
            </w:r>
          </w:p>
        </w:tc>
      </w:tr>
    </w:tbl>
    <w:p w14:paraId="022CBDE4" w14:textId="77777777" w:rsidR="00C36986" w:rsidRPr="00C36986" w:rsidRDefault="00C36986" w:rsidP="00C36986">
      <w:pPr>
        <w:spacing w:before="160" w:line="276" w:lineRule="auto"/>
        <w:rPr>
          <w:rFonts w:ascii="Century Gothic" w:eastAsia="Cambria" w:hAnsi="Century Gothic" w:cs="Cambria"/>
        </w:rPr>
      </w:pPr>
    </w:p>
    <w:p w14:paraId="097D8B94" w14:textId="77777777" w:rsidR="00C36986" w:rsidRPr="00C36986" w:rsidRDefault="00C36986" w:rsidP="00C36986">
      <w:pPr>
        <w:spacing w:before="160" w:line="276" w:lineRule="auto"/>
        <w:rPr>
          <w:rFonts w:ascii="Century Gothic" w:eastAsia="Cambria" w:hAnsi="Century Gothic" w:cs="Cambria"/>
        </w:rPr>
      </w:pPr>
    </w:p>
    <w:p w14:paraId="306065A4" w14:textId="77777777" w:rsidR="00C36986" w:rsidRPr="00C36986" w:rsidRDefault="00C36986" w:rsidP="00C36986">
      <w:pPr>
        <w:spacing w:before="160" w:line="276" w:lineRule="auto"/>
        <w:rPr>
          <w:rFonts w:ascii="Century Gothic" w:eastAsia="Calibri" w:hAnsi="Century Gothic" w:cs="Arial"/>
        </w:rPr>
      </w:pPr>
    </w:p>
    <w:p w14:paraId="7D2809E0" w14:textId="77777777" w:rsidR="00C36986" w:rsidRPr="00C36986" w:rsidRDefault="00C36986" w:rsidP="00C36986">
      <w:pPr>
        <w:spacing w:before="160" w:line="276" w:lineRule="auto"/>
        <w:rPr>
          <w:rFonts w:ascii="Century Gothic" w:eastAsia="Cambria" w:hAnsi="Century Gothic" w:cs="Cambria"/>
        </w:rPr>
      </w:pPr>
    </w:p>
    <w:p w14:paraId="040FC802" w14:textId="77777777" w:rsidR="00C36986" w:rsidRPr="00C36986" w:rsidRDefault="00C36986" w:rsidP="00C36986">
      <w:pPr>
        <w:spacing w:before="160" w:line="276" w:lineRule="auto"/>
        <w:rPr>
          <w:rFonts w:ascii="Century Gothic" w:eastAsia="Cambria" w:hAnsi="Century Gothic" w:cs="Cambria"/>
        </w:rPr>
      </w:pPr>
    </w:p>
    <w:p w14:paraId="6C78A6B4" w14:textId="77777777" w:rsidR="00C36986" w:rsidRPr="00C36986" w:rsidRDefault="00C36986" w:rsidP="00C36986">
      <w:pPr>
        <w:spacing w:before="160" w:line="276" w:lineRule="auto"/>
        <w:rPr>
          <w:rFonts w:ascii="Century Gothic" w:eastAsia="Cambria" w:hAnsi="Century Gothic" w:cs="Cambria"/>
        </w:rPr>
      </w:pPr>
    </w:p>
    <w:p w14:paraId="6BA02726" w14:textId="77777777" w:rsidR="00C36986" w:rsidRPr="00C36986" w:rsidRDefault="00C36986" w:rsidP="00C36986">
      <w:pPr>
        <w:spacing w:before="160" w:line="276" w:lineRule="auto"/>
        <w:rPr>
          <w:rFonts w:ascii="Century Gothic" w:eastAsia="Cambria" w:hAnsi="Century Gothic" w:cs="Cambria"/>
        </w:rPr>
      </w:pPr>
    </w:p>
    <w:p w14:paraId="7A0ABC09" w14:textId="67A630C1" w:rsidR="00C36986" w:rsidRPr="00C36986" w:rsidRDefault="00C36986" w:rsidP="00C36986">
      <w:pPr>
        <w:spacing w:before="160" w:line="276" w:lineRule="auto"/>
        <w:rPr>
          <w:rFonts w:ascii="Century Gothic" w:eastAsia="Cambria" w:hAnsi="Century Gothic" w:cs="Cambria"/>
          <w:color w:val="FF0000"/>
        </w:rPr>
      </w:pPr>
      <w:r w:rsidRPr="05EC2830">
        <w:rPr>
          <w:rFonts w:ascii="Century Gothic" w:eastAsia="Cambria" w:hAnsi="Century Gothic" w:cs="Cambria"/>
        </w:rPr>
        <w:t xml:space="preserve">For example, for </w:t>
      </w:r>
      <w:r w:rsidR="339634BC" w:rsidRPr="05EC2830">
        <w:rPr>
          <w:rFonts w:ascii="Century Gothic" w:eastAsia="Cambria" w:hAnsi="Century Gothic" w:cs="Cambria"/>
        </w:rPr>
        <w:t>s</w:t>
      </w:r>
      <w:r w:rsidRPr="05EC2830">
        <w:rPr>
          <w:rFonts w:ascii="Century Gothic" w:eastAsia="Cambria" w:hAnsi="Century Gothic" w:cs="Cambria"/>
        </w:rPr>
        <w:t xml:space="preserve">ubject </w:t>
      </w:r>
      <w:r w:rsidR="7EB4A125" w:rsidRPr="05EC2830">
        <w:rPr>
          <w:rFonts w:ascii="Century Gothic" w:eastAsia="Cambria" w:hAnsi="Century Gothic" w:cs="Cambria"/>
        </w:rPr>
        <w:t>k</w:t>
      </w:r>
      <w:r w:rsidRPr="05EC2830">
        <w:rPr>
          <w:rFonts w:ascii="Century Gothic" w:eastAsia="Cambria" w:hAnsi="Century Gothic" w:cs="Cambria"/>
        </w:rPr>
        <w:t xml:space="preserve">nowledge if you think it is a 2:1, decide the mark that you want to award within this grade boundary. You may find it helpful to think about whether the assignment is a low, mid or high 2:1 before assigning a specific mark. </w:t>
      </w:r>
    </w:p>
    <w:p w14:paraId="08DCA061" w14:textId="440167FC" w:rsidR="00C36986" w:rsidRPr="00C36986" w:rsidRDefault="00C36986" w:rsidP="00C36986">
      <w:pPr>
        <w:spacing w:before="160" w:line="276" w:lineRule="auto"/>
        <w:rPr>
          <w:rFonts w:ascii="Century Gothic" w:eastAsia="Cambria" w:hAnsi="Century Gothic" w:cs="Cambria"/>
        </w:rPr>
      </w:pPr>
      <w:r w:rsidRPr="24199EE3">
        <w:rPr>
          <w:rFonts w:ascii="Century Gothic" w:eastAsia="Cambria" w:hAnsi="Century Gothic" w:cs="Cambria"/>
        </w:rPr>
        <w:t>The overall mark will be based on an average mark across the three criteria of the mark scheme: subject knowledge, critical thinking</w:t>
      </w:r>
      <w:r w:rsidR="00751B35">
        <w:rPr>
          <w:rFonts w:ascii="Century Gothic" w:eastAsia="Cambria" w:hAnsi="Century Gothic" w:cs="Cambria"/>
        </w:rPr>
        <w:t>,</w:t>
      </w:r>
      <w:r w:rsidRPr="24199EE3">
        <w:rPr>
          <w:rFonts w:ascii="Century Gothic" w:eastAsia="Cambria" w:hAnsi="Century Gothic" w:cs="Cambria"/>
        </w:rPr>
        <w:t xml:space="preserve"> and written communication. We will ask you to submit marks for each of the three criteria as well as the overall grade. </w:t>
      </w:r>
    </w:p>
    <w:p w14:paraId="13016D80" w14:textId="57A941F9" w:rsidR="00C36986" w:rsidRDefault="00C36986" w:rsidP="00C36986">
      <w:pPr>
        <w:numPr>
          <w:ilvl w:val="0"/>
          <w:numId w:val="1"/>
        </w:numPr>
        <w:spacing w:before="160" w:line="276" w:lineRule="auto"/>
        <w:contextualSpacing/>
        <w:rPr>
          <w:rFonts w:ascii="Century Gothic" w:eastAsia="Cambria" w:hAnsi="Century Gothic" w:cs="Cambria"/>
          <w:b/>
          <w:bCs/>
        </w:rPr>
      </w:pPr>
      <w:r w:rsidRPr="00C36986">
        <w:rPr>
          <w:rFonts w:ascii="Century Gothic" w:eastAsia="Cambria" w:hAnsi="Century Gothic" w:cs="Cambria"/>
          <w:b/>
          <w:bCs/>
        </w:rPr>
        <w:t>What do I do if an assignment has an uneven profile?</w:t>
      </w:r>
    </w:p>
    <w:p w14:paraId="1354CCFE" w14:textId="77777777" w:rsidR="00F7764A" w:rsidRPr="00C36986" w:rsidRDefault="00F7764A" w:rsidP="00F7764A">
      <w:pPr>
        <w:spacing w:before="160" w:line="276" w:lineRule="auto"/>
        <w:ind w:left="720"/>
        <w:contextualSpacing/>
        <w:rPr>
          <w:rFonts w:ascii="Century Gothic" w:eastAsia="Cambria" w:hAnsi="Century Gothic" w:cs="Cambria"/>
          <w:b/>
          <w:bCs/>
        </w:rPr>
      </w:pPr>
    </w:p>
    <w:p w14:paraId="38D28D2F" w14:textId="45C41AF4" w:rsidR="00C36986" w:rsidRPr="00C36986" w:rsidRDefault="00C36986" w:rsidP="00C36986">
      <w:pPr>
        <w:spacing w:before="160" w:line="276" w:lineRule="auto"/>
        <w:rPr>
          <w:rFonts w:ascii="Century Gothic" w:eastAsia="Cambria" w:hAnsi="Century Gothic" w:cs="Cambria"/>
        </w:rPr>
      </w:pPr>
      <w:r w:rsidRPr="00C36986">
        <w:rPr>
          <w:rFonts w:ascii="Century Gothic" w:eastAsia="Cambria" w:hAnsi="Century Gothic" w:cs="Cambria"/>
        </w:rPr>
        <w:t>A rule of thumb when work is a little uneven is to give the benefit of the doubt to the pupil and grade upwards.</w:t>
      </w:r>
    </w:p>
    <w:p w14:paraId="03268E58" w14:textId="097CD2A2" w:rsidR="008F3705" w:rsidRDefault="00C36986" w:rsidP="008F3705">
      <w:pPr>
        <w:spacing w:before="160" w:line="276" w:lineRule="auto"/>
        <w:rPr>
          <w:rFonts w:ascii="Century Gothic" w:eastAsia="Cambria" w:hAnsi="Century Gothic" w:cs="Cambria"/>
        </w:rPr>
      </w:pPr>
      <w:r w:rsidRPr="00C36986">
        <w:rPr>
          <w:rFonts w:ascii="Century Gothic" w:eastAsia="Cambria" w:hAnsi="Century Gothic" w:cs="Cambria"/>
        </w:rPr>
        <w:t>Where a piece of work has an uneven profile e.g. very strong on one aspect and very weak on another</w:t>
      </w:r>
      <w:r w:rsidR="008C0E42">
        <w:rPr>
          <w:rFonts w:ascii="Century Gothic" w:eastAsia="Cambria" w:hAnsi="Century Gothic" w:cs="Cambria"/>
        </w:rPr>
        <w:t xml:space="preserve"> within a grade boundary</w:t>
      </w:r>
      <w:r w:rsidRPr="00C36986">
        <w:rPr>
          <w:rFonts w:ascii="Century Gothic" w:eastAsia="Cambria" w:hAnsi="Century Gothic" w:cs="Cambria"/>
        </w:rPr>
        <w:t>, we recommend that you still make a best fit holistic judgment of what you think is the right grade for the essay</w:t>
      </w:r>
      <w:r w:rsidR="008F3705">
        <w:rPr>
          <w:rFonts w:ascii="Century Gothic" w:eastAsia="Cambria" w:hAnsi="Century Gothic" w:cs="Cambria"/>
        </w:rPr>
        <w:t>.</w:t>
      </w:r>
      <w:r w:rsidRPr="00C36986">
        <w:rPr>
          <w:rFonts w:ascii="Century Gothic" w:eastAsia="Cambria" w:hAnsi="Century Gothic" w:cs="Cambria"/>
        </w:rPr>
        <w:t xml:space="preserve"> </w:t>
      </w:r>
    </w:p>
    <w:p w14:paraId="14A957BD" w14:textId="3F979AB1" w:rsidR="006F0EC3" w:rsidRDefault="006F0EC3" w:rsidP="008F3705">
      <w:pPr>
        <w:spacing w:before="160" w:line="276" w:lineRule="auto"/>
        <w:rPr>
          <w:rFonts w:ascii="Century Gothic" w:eastAsia="Cambria" w:hAnsi="Century Gothic" w:cs="Cambria"/>
        </w:rPr>
      </w:pPr>
    </w:p>
    <w:p w14:paraId="36165882" w14:textId="77777777" w:rsidR="006F0EC3" w:rsidRDefault="006F0EC3" w:rsidP="008F3705">
      <w:pPr>
        <w:spacing w:before="160" w:line="276" w:lineRule="auto"/>
        <w:rPr>
          <w:rFonts w:ascii="Century Gothic" w:eastAsia="Cambria" w:hAnsi="Century Gothic" w:cs="Cambria"/>
        </w:rPr>
      </w:pPr>
    </w:p>
    <w:p w14:paraId="273E3099" w14:textId="3E9BE854" w:rsidR="00C36986" w:rsidRPr="008F3705" w:rsidRDefault="00C36986" w:rsidP="008F3705">
      <w:pPr>
        <w:pStyle w:val="ListParagraph"/>
        <w:numPr>
          <w:ilvl w:val="0"/>
          <w:numId w:val="1"/>
        </w:numPr>
        <w:spacing w:before="160" w:line="276" w:lineRule="auto"/>
        <w:rPr>
          <w:rFonts w:ascii="Century Gothic" w:eastAsia="Calibri" w:hAnsi="Century Gothic" w:cs="Arial"/>
          <w:b/>
          <w:bCs/>
        </w:rPr>
      </w:pPr>
      <w:r w:rsidRPr="008F3705">
        <w:rPr>
          <w:rFonts w:ascii="Century Gothic" w:eastAsia="Cambria" w:hAnsi="Century Gothic" w:cs="Cambria"/>
          <w:b/>
          <w:bCs/>
        </w:rPr>
        <w:t>What if aspects of the mark scheme do not apply to the assignment that I have set?</w:t>
      </w:r>
    </w:p>
    <w:p w14:paraId="17DB13C2" w14:textId="77777777" w:rsidR="00C36986" w:rsidRPr="00C36986" w:rsidRDefault="00C36986" w:rsidP="00C36986">
      <w:pPr>
        <w:spacing w:before="160" w:line="276" w:lineRule="auto"/>
        <w:rPr>
          <w:rFonts w:ascii="Century Gothic" w:eastAsia="Cambria" w:hAnsi="Century Gothic" w:cs="Cambria"/>
        </w:rPr>
      </w:pPr>
      <w:r w:rsidRPr="00C36986">
        <w:rPr>
          <w:rFonts w:ascii="Century Gothic" w:eastAsia="Cambria" w:hAnsi="Century Gothic" w:cs="Cambria"/>
        </w:rPr>
        <w:t xml:space="preserve">As you are marking work by pupils that you have taught, you may find occasions where you treat some aspects of the mark scheme with less weight than others. Use your professional judgement to make these decisions but stick as closely to the mark scheme as you can. Some examples are provided below: </w:t>
      </w:r>
    </w:p>
    <w:p w14:paraId="4A91C4F7" w14:textId="77777777" w:rsidR="00C36986" w:rsidRPr="00C36986" w:rsidRDefault="00C36986" w:rsidP="00C36986">
      <w:pPr>
        <w:spacing w:before="160" w:line="276" w:lineRule="auto"/>
        <w:rPr>
          <w:rFonts w:ascii="Century Gothic" w:eastAsia="Cambria" w:hAnsi="Century Gothic" w:cs="Cambria"/>
        </w:rPr>
      </w:pPr>
      <w:r w:rsidRPr="05EC2830">
        <w:rPr>
          <w:rFonts w:ascii="Century Gothic" w:eastAsia="Cambria" w:hAnsi="Century Gothic" w:cs="Cambria"/>
          <w:b/>
          <w:bCs/>
        </w:rPr>
        <w:t>Referencing</w:t>
      </w:r>
      <w:r w:rsidRPr="05EC2830">
        <w:rPr>
          <w:rFonts w:ascii="Century Gothic" w:eastAsia="Cambria" w:hAnsi="Century Gothic" w:cs="Cambria"/>
        </w:rPr>
        <w:t xml:space="preserve">: If you have taught a particular style of referencing conventions, make sure you award marks based on how you have taught pupils to reference. </w:t>
      </w:r>
    </w:p>
    <w:p w14:paraId="161F5E01" w14:textId="0E4F3428" w:rsidR="000972A8" w:rsidRDefault="00C36986" w:rsidP="00C36986">
      <w:pPr>
        <w:spacing w:before="160" w:line="276" w:lineRule="auto"/>
        <w:rPr>
          <w:rFonts w:ascii="Century Gothic" w:eastAsia="Cambria" w:hAnsi="Century Gothic" w:cs="Cambria"/>
        </w:rPr>
      </w:pPr>
      <w:r w:rsidRPr="05EC2830">
        <w:rPr>
          <w:rFonts w:ascii="Century Gothic" w:eastAsia="Cambria" w:hAnsi="Century Gothic" w:cs="Cambria"/>
          <w:b/>
          <w:bCs/>
        </w:rPr>
        <w:t xml:space="preserve">Critical thinking: </w:t>
      </w:r>
      <w:r w:rsidRPr="05EC2830">
        <w:rPr>
          <w:rFonts w:ascii="Century Gothic" w:eastAsia="Cambria" w:hAnsi="Century Gothic" w:cs="Cambria"/>
        </w:rPr>
        <w:t>The two main critical thinking skills that this mark scheme assesses are analysis and evaluation</w:t>
      </w:r>
      <w:r w:rsidR="006F0EC3">
        <w:rPr>
          <w:rFonts w:ascii="Century Gothic" w:eastAsia="Cambria" w:hAnsi="Century Gothic" w:cs="Cambria"/>
        </w:rPr>
        <w:t xml:space="preserve"> (detailed in the mark scheme)</w:t>
      </w:r>
      <w:r w:rsidRPr="05EC2830">
        <w:rPr>
          <w:rFonts w:ascii="Century Gothic" w:eastAsia="Cambria" w:hAnsi="Century Gothic" w:cs="Cambria"/>
        </w:rPr>
        <w:t xml:space="preserve">. However, we understand that for certain subjects the relevance of these two skills may vary. </w:t>
      </w:r>
      <w:r w:rsidRPr="05EC2830">
        <w:rPr>
          <w:rFonts w:ascii="Century Gothic" w:eastAsia="Cambria" w:hAnsi="Century Gothic" w:cs="Cambria"/>
          <w:b/>
          <w:bCs/>
        </w:rPr>
        <w:t>For example</w:t>
      </w:r>
      <w:r w:rsidRPr="05EC2830">
        <w:rPr>
          <w:rFonts w:ascii="Century Gothic" w:eastAsia="Cambria" w:hAnsi="Century Gothic" w:cs="Cambria"/>
        </w:rPr>
        <w:t xml:space="preserve">, you might set an assignment question that gives students the opportunity to demonstrate their analysis skills but not evaluation skills. In these instances, use the criteria from the mark scheme that relate to your assignment question; ensuring that you still use the full range of marks available. </w:t>
      </w:r>
      <w:r w:rsidRPr="05EC2830">
        <w:rPr>
          <w:rFonts w:ascii="Century Gothic" w:eastAsia="Cambria" w:hAnsi="Century Gothic" w:cs="Cambria"/>
          <w:b/>
          <w:bCs/>
        </w:rPr>
        <w:t>Using the example described</w:t>
      </w:r>
      <w:r w:rsidRPr="05EC2830">
        <w:rPr>
          <w:rFonts w:ascii="Century Gothic" w:eastAsia="Cambria" w:hAnsi="Century Gothic" w:cs="Cambria"/>
        </w:rPr>
        <w:t xml:space="preserve"> </w:t>
      </w:r>
      <w:r w:rsidRPr="05EC2830">
        <w:rPr>
          <w:rFonts w:ascii="Century Gothic" w:eastAsia="Cambria" w:hAnsi="Century Gothic" w:cs="Cambria"/>
          <w:b/>
          <w:bCs/>
        </w:rPr>
        <w:t>above</w:t>
      </w:r>
      <w:r w:rsidRPr="05EC2830">
        <w:rPr>
          <w:rFonts w:ascii="Century Gothic" w:eastAsia="Cambria" w:hAnsi="Century Gothic" w:cs="Cambria"/>
        </w:rPr>
        <w:t xml:space="preserve">, if a pupil meets </w:t>
      </w:r>
      <w:r w:rsidR="19D9EEAC" w:rsidRPr="05EC2830">
        <w:rPr>
          <w:rFonts w:ascii="Century Gothic" w:eastAsia="Cambria" w:hAnsi="Century Gothic" w:cs="Cambria"/>
        </w:rPr>
        <w:t>all</w:t>
      </w:r>
      <w:r w:rsidRPr="05EC2830">
        <w:rPr>
          <w:rFonts w:ascii="Century Gothic" w:eastAsia="Cambria" w:hAnsi="Century Gothic" w:cs="Cambria"/>
        </w:rPr>
        <w:t xml:space="preserve"> the criteria of a 1</w:t>
      </w:r>
      <w:r w:rsidRPr="05EC2830">
        <w:rPr>
          <w:rFonts w:ascii="Century Gothic" w:eastAsia="Cambria" w:hAnsi="Century Gothic" w:cs="Cambria"/>
          <w:vertAlign w:val="superscript"/>
        </w:rPr>
        <w:t>st</w:t>
      </w:r>
      <w:r w:rsidRPr="05EC2830">
        <w:rPr>
          <w:rFonts w:ascii="Century Gothic" w:eastAsia="Cambria" w:hAnsi="Century Gothic" w:cs="Cambria"/>
        </w:rPr>
        <w:t xml:space="preserve"> based on the analysis descriptors, then the pupil should receive a mark for critical thinking within the 1</w:t>
      </w:r>
      <w:r w:rsidRPr="05EC2830">
        <w:rPr>
          <w:rFonts w:ascii="Century Gothic" w:eastAsia="Cambria" w:hAnsi="Century Gothic" w:cs="Cambria"/>
          <w:vertAlign w:val="superscript"/>
        </w:rPr>
        <w:t>st</w:t>
      </w:r>
      <w:r w:rsidRPr="05EC2830">
        <w:rPr>
          <w:rFonts w:ascii="Century Gothic" w:eastAsia="Cambria" w:hAnsi="Century Gothic" w:cs="Cambria"/>
        </w:rPr>
        <w:t xml:space="preserve"> boundary.</w:t>
      </w:r>
    </w:p>
    <w:p w14:paraId="361968BF" w14:textId="77777777" w:rsidR="007032D9" w:rsidRPr="007032D9" w:rsidRDefault="007032D9" w:rsidP="007032D9">
      <w:pPr>
        <w:pStyle w:val="ListParagraph"/>
        <w:spacing w:before="160" w:line="276" w:lineRule="auto"/>
        <w:rPr>
          <w:rFonts w:ascii="Century Gothic" w:eastAsia="Cambria" w:hAnsi="Century Gothic" w:cs="Cambria"/>
          <w:b/>
          <w:bCs/>
          <w:highlight w:val="yellow"/>
        </w:rPr>
      </w:pPr>
    </w:p>
    <w:p w14:paraId="607CA64B" w14:textId="04123831" w:rsidR="007B72CD" w:rsidRPr="008B6E2F" w:rsidRDefault="00DB642A" w:rsidP="008B6E2F">
      <w:pPr>
        <w:pStyle w:val="ListParagraph"/>
        <w:numPr>
          <w:ilvl w:val="0"/>
          <w:numId w:val="1"/>
        </w:numPr>
        <w:spacing w:before="160" w:line="276" w:lineRule="auto"/>
        <w:rPr>
          <w:rFonts w:ascii="Century Gothic" w:eastAsia="Cambria" w:hAnsi="Century Gothic" w:cs="Cambria"/>
          <w:b/>
          <w:bCs/>
        </w:rPr>
      </w:pPr>
      <w:r>
        <w:rPr>
          <w:rFonts w:ascii="Century Gothic" w:eastAsia="Cambria" w:hAnsi="Century Gothic" w:cs="Cambria"/>
          <w:b/>
          <w:bCs/>
        </w:rPr>
        <w:t>The mark scheme is quite broad, h</w:t>
      </w:r>
      <w:r w:rsidR="00890682">
        <w:rPr>
          <w:rFonts w:ascii="Century Gothic" w:eastAsia="Cambria" w:hAnsi="Century Gothic" w:cs="Cambria"/>
          <w:b/>
          <w:bCs/>
        </w:rPr>
        <w:t xml:space="preserve">ow </w:t>
      </w:r>
      <w:r w:rsidR="00900D1C">
        <w:rPr>
          <w:rFonts w:ascii="Century Gothic" w:eastAsia="Cambria" w:hAnsi="Century Gothic" w:cs="Cambria"/>
          <w:b/>
          <w:bCs/>
        </w:rPr>
        <w:t xml:space="preserve">do I </w:t>
      </w:r>
      <w:r w:rsidR="008857D3">
        <w:rPr>
          <w:rFonts w:ascii="Century Gothic" w:eastAsia="Cambria" w:hAnsi="Century Gothic" w:cs="Cambria"/>
          <w:b/>
          <w:bCs/>
        </w:rPr>
        <w:t xml:space="preserve">use the mark scheme to give </w:t>
      </w:r>
      <w:r w:rsidR="008B6E2F">
        <w:rPr>
          <w:rFonts w:ascii="Century Gothic" w:eastAsia="Cambria" w:hAnsi="Century Gothic" w:cs="Cambria"/>
          <w:b/>
          <w:bCs/>
        </w:rPr>
        <w:t xml:space="preserve">pupils </w:t>
      </w:r>
      <w:r w:rsidR="008857D3">
        <w:rPr>
          <w:rFonts w:ascii="Century Gothic" w:eastAsia="Cambria" w:hAnsi="Century Gothic" w:cs="Cambria"/>
          <w:b/>
          <w:bCs/>
        </w:rPr>
        <w:t>detailed feedback</w:t>
      </w:r>
      <w:r w:rsidR="008857D3" w:rsidRPr="008B6E2F">
        <w:rPr>
          <w:rFonts w:ascii="Century Gothic" w:eastAsia="Cambria" w:hAnsi="Century Gothic" w:cs="Cambria"/>
          <w:b/>
          <w:bCs/>
        </w:rPr>
        <w:t>?</w:t>
      </w:r>
    </w:p>
    <w:p w14:paraId="684F052D" w14:textId="6BD6270E" w:rsidR="00376A36" w:rsidRDefault="00DB642A" w:rsidP="00890682">
      <w:pPr>
        <w:spacing w:before="160" w:line="276" w:lineRule="auto"/>
        <w:rPr>
          <w:rFonts w:ascii="Century Gothic" w:eastAsia="Cambria" w:hAnsi="Century Gothic" w:cs="Cambria"/>
        </w:rPr>
      </w:pPr>
      <w:r w:rsidRPr="00DB642A">
        <w:rPr>
          <w:rFonts w:ascii="Century Gothic" w:eastAsia="Cambria" w:hAnsi="Century Gothic" w:cs="Cambria"/>
        </w:rPr>
        <w:t xml:space="preserve">The mark scheme has been designed to give you flexibility in your </w:t>
      </w:r>
      <w:r w:rsidR="00B92CBE">
        <w:rPr>
          <w:rFonts w:ascii="Century Gothic" w:eastAsia="Cambria" w:hAnsi="Century Gothic" w:cs="Cambria"/>
        </w:rPr>
        <w:t xml:space="preserve">teaching and </w:t>
      </w:r>
      <w:r w:rsidRPr="00DB642A">
        <w:rPr>
          <w:rFonts w:ascii="Century Gothic" w:eastAsia="Cambria" w:hAnsi="Century Gothic" w:cs="Cambria"/>
        </w:rPr>
        <w:t>marking</w:t>
      </w:r>
      <w:r w:rsidR="008B6E2F">
        <w:rPr>
          <w:rFonts w:ascii="Century Gothic" w:eastAsia="Cambria" w:hAnsi="Century Gothic" w:cs="Cambria"/>
        </w:rPr>
        <w:t xml:space="preserve">, so that you can focus on the skills that are most important within your subject. </w:t>
      </w:r>
      <w:r w:rsidR="00A26C93">
        <w:rPr>
          <w:rFonts w:ascii="Century Gothic" w:eastAsia="Cambria" w:hAnsi="Century Gothic" w:cs="Cambria"/>
        </w:rPr>
        <w:t>In the mark scheme, there are three broad outcomes that you will be using to mark assignments</w:t>
      </w:r>
      <w:r w:rsidR="00FF5836">
        <w:rPr>
          <w:rFonts w:ascii="Century Gothic" w:eastAsia="Cambria" w:hAnsi="Century Gothic" w:cs="Cambria"/>
        </w:rPr>
        <w:t xml:space="preserve"> (subject knowledge, critical thinking, and written communication).</w:t>
      </w:r>
      <w:r w:rsidR="002F2C78">
        <w:rPr>
          <w:rFonts w:ascii="Century Gothic" w:eastAsia="Cambria" w:hAnsi="Century Gothic" w:cs="Cambria"/>
        </w:rPr>
        <w:t xml:space="preserve"> </w:t>
      </w:r>
      <w:r w:rsidR="00B92CBE" w:rsidRPr="00B855F4">
        <w:rPr>
          <w:rFonts w:ascii="Century Gothic" w:eastAsia="Cambria" w:hAnsi="Century Gothic" w:cs="Cambria"/>
        </w:rPr>
        <w:t>For</w:t>
      </w:r>
      <w:r w:rsidR="00047A59" w:rsidRPr="00B855F4">
        <w:rPr>
          <w:rFonts w:ascii="Century Gothic" w:eastAsia="Cambria" w:hAnsi="Century Gothic" w:cs="Cambria"/>
        </w:rPr>
        <w:t xml:space="preserve"> each of the </w:t>
      </w:r>
      <w:r w:rsidR="00B92CBE" w:rsidRPr="00B855F4">
        <w:rPr>
          <w:rFonts w:ascii="Century Gothic" w:eastAsia="Cambria" w:hAnsi="Century Gothic" w:cs="Cambria"/>
        </w:rPr>
        <w:t xml:space="preserve">three </w:t>
      </w:r>
      <w:r w:rsidR="00047A59" w:rsidRPr="00B855F4">
        <w:rPr>
          <w:rFonts w:ascii="Century Gothic" w:eastAsia="Cambria" w:hAnsi="Century Gothic" w:cs="Cambria"/>
        </w:rPr>
        <w:t xml:space="preserve">outcomes, you </w:t>
      </w:r>
      <w:r w:rsidR="00D20315" w:rsidRPr="00B855F4">
        <w:rPr>
          <w:rFonts w:ascii="Century Gothic" w:eastAsia="Cambria" w:hAnsi="Century Gothic" w:cs="Cambria"/>
        </w:rPr>
        <w:t>should</w:t>
      </w:r>
      <w:r w:rsidR="00047A59" w:rsidRPr="00B855F4">
        <w:rPr>
          <w:rFonts w:ascii="Century Gothic" w:eastAsia="Cambria" w:hAnsi="Century Gothic" w:cs="Cambria"/>
        </w:rPr>
        <w:t xml:space="preserve"> </w:t>
      </w:r>
      <w:r w:rsidR="00562E5C" w:rsidRPr="00B855F4">
        <w:rPr>
          <w:rFonts w:ascii="Century Gothic" w:eastAsia="Cambria" w:hAnsi="Century Gothic" w:cs="Cambria"/>
        </w:rPr>
        <w:t>identify which</w:t>
      </w:r>
      <w:r w:rsidR="00047A59" w:rsidRPr="00B855F4">
        <w:rPr>
          <w:rFonts w:ascii="Century Gothic" w:eastAsia="Cambria" w:hAnsi="Century Gothic" w:cs="Cambria"/>
        </w:rPr>
        <w:t xml:space="preserve"> </w:t>
      </w:r>
      <w:r w:rsidR="00D31A6F" w:rsidRPr="00B855F4">
        <w:rPr>
          <w:rFonts w:ascii="Century Gothic" w:eastAsia="Cambria" w:hAnsi="Century Gothic" w:cs="Cambria"/>
        </w:rPr>
        <w:t>skills</w:t>
      </w:r>
      <w:r w:rsidR="00047A59" w:rsidRPr="00B855F4">
        <w:rPr>
          <w:rFonts w:ascii="Century Gothic" w:eastAsia="Cambria" w:hAnsi="Century Gothic" w:cs="Cambria"/>
        </w:rPr>
        <w:t xml:space="preserve"> </w:t>
      </w:r>
      <w:r w:rsidR="00E0087B" w:rsidRPr="00B855F4">
        <w:rPr>
          <w:rFonts w:ascii="Century Gothic" w:eastAsia="Cambria" w:hAnsi="Century Gothic" w:cs="Cambria"/>
        </w:rPr>
        <w:t xml:space="preserve">you have focused on </w:t>
      </w:r>
      <w:r w:rsidR="00B77971" w:rsidRPr="00B855F4">
        <w:rPr>
          <w:rFonts w:ascii="Century Gothic" w:eastAsia="Cambria" w:hAnsi="Century Gothic" w:cs="Cambria"/>
        </w:rPr>
        <w:t xml:space="preserve">most </w:t>
      </w:r>
      <w:r w:rsidR="00E0087B" w:rsidRPr="00B855F4">
        <w:rPr>
          <w:rFonts w:ascii="Century Gothic" w:eastAsia="Cambria" w:hAnsi="Century Gothic" w:cs="Cambria"/>
        </w:rPr>
        <w:t>with your pupils</w:t>
      </w:r>
      <w:r w:rsidR="00425AC3" w:rsidRPr="00B855F4">
        <w:rPr>
          <w:rFonts w:ascii="Century Gothic" w:eastAsia="Cambria" w:hAnsi="Century Gothic" w:cs="Cambria"/>
        </w:rPr>
        <w:t>. For example, f</w:t>
      </w:r>
      <w:r w:rsidR="00371CD8" w:rsidRPr="00B855F4">
        <w:rPr>
          <w:rFonts w:ascii="Century Gothic" w:eastAsia="Cambria" w:hAnsi="Century Gothic" w:cs="Cambria"/>
        </w:rPr>
        <w:t xml:space="preserve">or written </w:t>
      </w:r>
      <w:r w:rsidR="007D3A18" w:rsidRPr="00B855F4">
        <w:rPr>
          <w:rFonts w:ascii="Century Gothic" w:eastAsia="Cambria" w:hAnsi="Century Gothic" w:cs="Cambria"/>
        </w:rPr>
        <w:t xml:space="preserve">communication, </w:t>
      </w:r>
      <w:r w:rsidR="00425AC3" w:rsidRPr="00B855F4">
        <w:rPr>
          <w:rFonts w:ascii="Century Gothic" w:eastAsia="Cambria" w:hAnsi="Century Gothic" w:cs="Cambria"/>
        </w:rPr>
        <w:t xml:space="preserve">you may have </w:t>
      </w:r>
      <w:r w:rsidR="007D3A18" w:rsidRPr="00B855F4">
        <w:rPr>
          <w:rFonts w:ascii="Century Gothic" w:eastAsia="Cambria" w:hAnsi="Century Gothic" w:cs="Cambria"/>
        </w:rPr>
        <w:t>focused</w:t>
      </w:r>
      <w:r w:rsidR="00371CD8" w:rsidRPr="00B855F4">
        <w:rPr>
          <w:rFonts w:ascii="Century Gothic" w:eastAsia="Cambria" w:hAnsi="Century Gothic" w:cs="Cambria"/>
        </w:rPr>
        <w:t xml:space="preserve"> on writing structure and less on </w:t>
      </w:r>
      <w:r w:rsidR="00AE40F1" w:rsidRPr="00B855F4">
        <w:rPr>
          <w:rFonts w:ascii="Century Gothic" w:eastAsia="Cambria" w:hAnsi="Century Gothic" w:cs="Cambria"/>
        </w:rPr>
        <w:t>key terms</w:t>
      </w:r>
      <w:r w:rsidR="00CA4A91">
        <w:rPr>
          <w:rFonts w:ascii="Century Gothic" w:eastAsia="Cambria" w:hAnsi="Century Gothic" w:cs="Cambria"/>
        </w:rPr>
        <w:t xml:space="preserve">. Another example is, </w:t>
      </w:r>
      <w:r w:rsidR="00425AC3" w:rsidRPr="008B1E94">
        <w:rPr>
          <w:rFonts w:ascii="Century Gothic" w:eastAsia="Cambria" w:hAnsi="Century Gothic" w:cs="Cambria"/>
        </w:rPr>
        <w:t>for critical thinking</w:t>
      </w:r>
      <w:r w:rsidR="00AE40F1" w:rsidRPr="008B1E94">
        <w:rPr>
          <w:rFonts w:ascii="Century Gothic" w:eastAsia="Cambria" w:hAnsi="Century Gothic" w:cs="Cambria"/>
        </w:rPr>
        <w:t xml:space="preserve"> </w:t>
      </w:r>
      <w:r w:rsidR="003B4E00" w:rsidRPr="008B1E94">
        <w:rPr>
          <w:rFonts w:ascii="Century Gothic" w:eastAsia="Cambria" w:hAnsi="Century Gothic" w:cs="Cambria"/>
        </w:rPr>
        <w:t xml:space="preserve">you may have </w:t>
      </w:r>
      <w:r w:rsidR="009F7C75" w:rsidRPr="008B1E94">
        <w:rPr>
          <w:rFonts w:ascii="Century Gothic" w:eastAsia="Cambria" w:hAnsi="Century Gothic" w:cs="Cambria"/>
        </w:rPr>
        <w:t xml:space="preserve">taught </w:t>
      </w:r>
      <w:r w:rsidR="00D86345" w:rsidRPr="008B1E94">
        <w:rPr>
          <w:rFonts w:ascii="Century Gothic" w:eastAsia="Cambria" w:hAnsi="Century Gothic" w:cs="Cambria"/>
        </w:rPr>
        <w:t xml:space="preserve">pupils </w:t>
      </w:r>
      <w:r w:rsidR="009F7C75" w:rsidRPr="008B1E94">
        <w:rPr>
          <w:rFonts w:ascii="Century Gothic" w:eastAsia="Cambria" w:hAnsi="Century Gothic" w:cs="Cambria"/>
        </w:rPr>
        <w:t>how to evaluate arguments</w:t>
      </w:r>
      <w:r w:rsidR="00815BEF" w:rsidRPr="008B1E94">
        <w:rPr>
          <w:rFonts w:ascii="Century Gothic" w:eastAsia="Cambria" w:hAnsi="Century Gothic" w:cs="Cambria"/>
        </w:rPr>
        <w:t xml:space="preserve"> but not spent much time on analysing </w:t>
      </w:r>
      <w:r w:rsidR="00CA4A91">
        <w:rPr>
          <w:rFonts w:ascii="Century Gothic" w:eastAsia="Cambria" w:hAnsi="Century Gothic" w:cs="Cambria"/>
        </w:rPr>
        <w:t>arguments</w:t>
      </w:r>
      <w:r w:rsidR="00AA7606" w:rsidRPr="008B1E94">
        <w:rPr>
          <w:rFonts w:ascii="Century Gothic" w:eastAsia="Cambria" w:hAnsi="Century Gothic" w:cs="Cambria"/>
        </w:rPr>
        <w:t xml:space="preserve"> or ideas</w:t>
      </w:r>
      <w:r w:rsidR="007D3A18" w:rsidRPr="008B1E94">
        <w:rPr>
          <w:rFonts w:ascii="Century Gothic" w:eastAsia="Cambria" w:hAnsi="Century Gothic" w:cs="Cambria"/>
        </w:rPr>
        <w:t>.</w:t>
      </w:r>
      <w:r w:rsidR="00866708">
        <w:rPr>
          <w:rFonts w:ascii="Century Gothic" w:eastAsia="Cambria" w:hAnsi="Century Gothic" w:cs="Cambria"/>
        </w:rPr>
        <w:t xml:space="preserve"> Therefore, y</w:t>
      </w:r>
      <w:r w:rsidR="00E0087B">
        <w:rPr>
          <w:rFonts w:ascii="Century Gothic" w:eastAsia="Cambria" w:hAnsi="Century Gothic" w:cs="Cambria"/>
        </w:rPr>
        <w:t xml:space="preserve">our feedback </w:t>
      </w:r>
      <w:r w:rsidR="00562E5C">
        <w:rPr>
          <w:rFonts w:ascii="Century Gothic" w:eastAsia="Cambria" w:hAnsi="Century Gothic" w:cs="Cambria"/>
        </w:rPr>
        <w:t xml:space="preserve">should reflect the </w:t>
      </w:r>
      <w:r w:rsidR="00456862">
        <w:rPr>
          <w:rFonts w:ascii="Century Gothic" w:eastAsia="Cambria" w:hAnsi="Century Gothic" w:cs="Cambria"/>
        </w:rPr>
        <w:t>skills</w:t>
      </w:r>
      <w:r w:rsidR="00B40639">
        <w:rPr>
          <w:rFonts w:ascii="Century Gothic" w:eastAsia="Cambria" w:hAnsi="Century Gothic" w:cs="Cambria"/>
        </w:rPr>
        <w:t xml:space="preserve"> that you have taught</w:t>
      </w:r>
      <w:r w:rsidR="00456862">
        <w:rPr>
          <w:rFonts w:ascii="Century Gothic" w:eastAsia="Cambria" w:hAnsi="Century Gothic" w:cs="Cambria"/>
        </w:rPr>
        <w:t xml:space="preserve"> during the course</w:t>
      </w:r>
      <w:r w:rsidR="00562E5C">
        <w:rPr>
          <w:rFonts w:ascii="Century Gothic" w:eastAsia="Cambria" w:hAnsi="Century Gothic" w:cs="Cambria"/>
        </w:rPr>
        <w:t>.</w:t>
      </w:r>
      <w:r w:rsidR="00E0087B">
        <w:rPr>
          <w:rFonts w:ascii="Century Gothic" w:eastAsia="Cambria" w:hAnsi="Century Gothic" w:cs="Cambria"/>
        </w:rPr>
        <w:t xml:space="preserve"> </w:t>
      </w:r>
      <w:r w:rsidR="00562E5C">
        <w:rPr>
          <w:rFonts w:ascii="Century Gothic" w:eastAsia="Cambria" w:hAnsi="Century Gothic" w:cs="Cambria"/>
        </w:rPr>
        <w:t xml:space="preserve">If you are delivering your own course, </w:t>
      </w:r>
      <w:r w:rsidR="009A76F0">
        <w:rPr>
          <w:rFonts w:ascii="Century Gothic" w:eastAsia="Cambria" w:hAnsi="Century Gothic" w:cs="Cambria"/>
        </w:rPr>
        <w:t xml:space="preserve">this is something that you would have identified in your backwards planning process. </w:t>
      </w:r>
    </w:p>
    <w:bookmarkEnd w:id="0"/>
    <w:p w14:paraId="12624608" w14:textId="76F750DF" w:rsidR="008E7C88" w:rsidRDefault="008E7C88" w:rsidP="48821630">
      <w:pPr>
        <w:spacing w:before="160" w:line="276" w:lineRule="auto"/>
        <w:rPr>
          <w:rFonts w:ascii="Century Gothic" w:eastAsia="Cambria" w:hAnsi="Century Gothic" w:cs="Cambria"/>
        </w:rPr>
      </w:pPr>
      <w:r w:rsidRPr="48821630">
        <w:rPr>
          <w:rFonts w:ascii="Century Gothic" w:eastAsia="Cambria" w:hAnsi="Century Gothic" w:cs="Cambria"/>
        </w:rPr>
        <w:t>In addition, y</w:t>
      </w:r>
      <w:r w:rsidR="00A4582C" w:rsidRPr="48821630">
        <w:rPr>
          <w:rFonts w:ascii="Century Gothic" w:eastAsia="Cambria" w:hAnsi="Century Gothic" w:cs="Cambria"/>
        </w:rPr>
        <w:t xml:space="preserve">ou should use the mark scheme to formulate aspects of your feedback, but you should also </w:t>
      </w:r>
      <w:r w:rsidR="00F00195" w:rsidRPr="48821630">
        <w:rPr>
          <w:rFonts w:ascii="Century Gothic" w:eastAsia="Cambria" w:hAnsi="Century Gothic" w:cs="Cambria"/>
        </w:rPr>
        <w:t xml:space="preserve">provide wider feedback </w:t>
      </w:r>
      <w:r w:rsidR="00D02036" w:rsidRPr="48821630">
        <w:rPr>
          <w:rFonts w:ascii="Century Gothic" w:eastAsia="Cambria" w:hAnsi="Century Gothic" w:cs="Cambria"/>
        </w:rPr>
        <w:t xml:space="preserve">based on </w:t>
      </w:r>
      <w:r w:rsidR="00F00195" w:rsidRPr="48821630">
        <w:rPr>
          <w:rFonts w:ascii="Century Gothic" w:eastAsia="Cambria" w:hAnsi="Century Gothic" w:cs="Cambria"/>
        </w:rPr>
        <w:t xml:space="preserve">the </w:t>
      </w:r>
      <w:r w:rsidR="00376A36" w:rsidRPr="48821630">
        <w:rPr>
          <w:rFonts w:ascii="Century Gothic" w:eastAsia="Cambria" w:hAnsi="Century Gothic" w:cs="Cambria"/>
        </w:rPr>
        <w:t>knowledge and skills</w:t>
      </w:r>
      <w:r w:rsidR="00F00195" w:rsidRPr="48821630">
        <w:rPr>
          <w:rFonts w:ascii="Century Gothic" w:eastAsia="Cambria" w:hAnsi="Century Gothic" w:cs="Cambria"/>
        </w:rPr>
        <w:t xml:space="preserve"> that you have taught</w:t>
      </w:r>
      <w:r w:rsidR="00D02036" w:rsidRPr="48821630">
        <w:rPr>
          <w:rFonts w:ascii="Century Gothic" w:eastAsia="Cambria" w:hAnsi="Century Gothic" w:cs="Cambria"/>
        </w:rPr>
        <w:t xml:space="preserve"> pupils</w:t>
      </w:r>
      <w:r w:rsidR="00F00195" w:rsidRPr="48821630">
        <w:rPr>
          <w:rFonts w:ascii="Century Gothic" w:eastAsia="Cambria" w:hAnsi="Century Gothic" w:cs="Cambria"/>
        </w:rPr>
        <w:t xml:space="preserve"> </w:t>
      </w:r>
      <w:r w:rsidR="00866708" w:rsidRPr="48821630">
        <w:rPr>
          <w:rFonts w:ascii="Century Gothic" w:eastAsia="Cambria" w:hAnsi="Century Gothic" w:cs="Cambria"/>
        </w:rPr>
        <w:t>throughout</w:t>
      </w:r>
      <w:r w:rsidR="00376A36" w:rsidRPr="48821630">
        <w:rPr>
          <w:rFonts w:ascii="Century Gothic" w:eastAsia="Cambria" w:hAnsi="Century Gothic" w:cs="Cambria"/>
        </w:rPr>
        <w:t xml:space="preserve"> your course. </w:t>
      </w:r>
      <w:r w:rsidR="649CCA42" w:rsidRPr="48821630">
        <w:rPr>
          <w:rFonts w:ascii="Century Gothic" w:eastAsia="Cambria" w:hAnsi="Century Gothic" w:cs="Cambria"/>
        </w:rPr>
        <w:t>For example</w:t>
      </w:r>
      <w:r w:rsidR="60B52E8C" w:rsidRPr="48821630">
        <w:rPr>
          <w:rFonts w:ascii="Century Gothic" w:eastAsia="Cambria" w:hAnsi="Century Gothic" w:cs="Cambria"/>
        </w:rPr>
        <w:t>, you could use the 'Essay Writing Reflection’ (Tutorial 5) to structure some of your feedback.</w:t>
      </w:r>
    </w:p>
    <w:p w14:paraId="6052B0E8" w14:textId="77777777" w:rsidR="00F7764A" w:rsidRPr="00F7764A" w:rsidRDefault="00F7764A" w:rsidP="00F7764A">
      <w:pPr>
        <w:pStyle w:val="ListParagraph"/>
        <w:spacing w:before="160" w:line="276" w:lineRule="auto"/>
        <w:rPr>
          <w:rFonts w:ascii="Century Gothic" w:eastAsia="Cambria" w:hAnsi="Century Gothic" w:cs="Cambria"/>
          <w:b/>
          <w:bCs/>
          <w:highlight w:val="yellow"/>
        </w:rPr>
      </w:pPr>
    </w:p>
    <w:p w14:paraId="2405BC80" w14:textId="7E3BCE14" w:rsidR="00D64C22" w:rsidRDefault="00D64C22" w:rsidP="007032D9">
      <w:pPr>
        <w:ind w:left="360"/>
      </w:pPr>
    </w:p>
    <w:sectPr w:rsidR="00D64C22" w:rsidSect="00E577EE">
      <w:headerReference w:type="default" r:id="rId10"/>
      <w:footerReference w:type="default" r:id="rId11"/>
      <w:pgSz w:w="11906" w:h="16838"/>
      <w:pgMar w:top="1724" w:right="1077" w:bottom="1440" w:left="107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EE5D" w14:textId="77777777" w:rsidR="00E577EE" w:rsidRDefault="00E577EE">
      <w:pPr>
        <w:spacing w:after="0" w:line="240" w:lineRule="auto"/>
      </w:pPr>
      <w:r>
        <w:separator/>
      </w:r>
    </w:p>
  </w:endnote>
  <w:endnote w:type="continuationSeparator" w:id="0">
    <w:p w14:paraId="7119019F" w14:textId="77777777" w:rsidR="00E577EE" w:rsidRDefault="00E577EE">
      <w:pPr>
        <w:spacing w:after="0" w:line="240" w:lineRule="auto"/>
      </w:pPr>
      <w:r>
        <w:continuationSeparator/>
      </w:r>
    </w:p>
  </w:endnote>
  <w:endnote w:type="continuationNotice" w:id="1">
    <w:p w14:paraId="6BB15A09" w14:textId="77777777" w:rsidR="00E577EE" w:rsidRDefault="00E57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506583039"/>
      <w:docPartObj>
        <w:docPartGallery w:val="Page Numbers (Bottom of Page)"/>
        <w:docPartUnique/>
      </w:docPartObj>
    </w:sdtPr>
    <w:sdtContent>
      <w:p w14:paraId="28427C29" w14:textId="77777777" w:rsidR="00E577EE" w:rsidRPr="004E6A3C" w:rsidRDefault="00161F8D">
        <w:pPr>
          <w:pStyle w:val="Footer"/>
          <w:jc w:val="right"/>
          <w:rPr>
            <w:rFonts w:ascii="Century Gothic" w:hAnsi="Century Gothic"/>
          </w:rPr>
        </w:pPr>
        <w:r w:rsidRPr="004E6A3C">
          <w:rPr>
            <w:rFonts w:ascii="Century Gothic" w:hAnsi="Century Gothic"/>
            <w:noProof/>
            <w:lang w:val="en-US"/>
          </w:rPr>
          <mc:AlternateContent>
            <mc:Choice Requires="wps">
              <w:drawing>
                <wp:anchor distT="0" distB="0" distL="114300" distR="114300" simplePos="0" relativeHeight="251658240" behindDoc="0" locked="0" layoutInCell="1" allowOverlap="1" wp14:anchorId="37556CAF" wp14:editId="63373C88">
                  <wp:simplePos x="0" y="0"/>
                  <wp:positionH relativeFrom="margin">
                    <wp:posOffset>-694690</wp:posOffset>
                  </wp:positionH>
                  <wp:positionV relativeFrom="margin">
                    <wp:posOffset>8695690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463278"/>
                            </a:solidFill>
                            <a:prstDash val="solid"/>
                            <a:miter lim="800000"/>
                          </a:ln>
                          <a:effectLst/>
                        </wps:spPr>
                        <wps:bodyPr/>
                      </wps:wsp>
                    </a:graphicData>
                  </a:graphic>
                  <wp14:sizeRelH relativeFrom="margin">
                    <wp14:pctWidth>0</wp14:pctWidth>
                  </wp14:sizeRelH>
                </wp:anchor>
              </w:drawing>
            </mc:Choice>
            <mc:Fallback>
              <w:pict>
                <v:line w14:anchorId="7EF2EED3"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4.7pt,684.7pt" to="540.6pt,6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" strokecolor="#463278" strokeweight=".5pt">
                  <v:stroke joinstyle="miter"/>
                  <w10:wrap anchorx="margin" anchory="margin"/>
                </v:line>
              </w:pict>
            </mc:Fallback>
          </mc:AlternateContent>
        </w:r>
        <w:r w:rsidRPr="004E6A3C">
          <w:rPr>
            <w:rFonts w:ascii="Century Gothic" w:hAnsi="Century Gothic"/>
          </w:rPr>
          <w:t xml:space="preserve">Page | </w:t>
        </w:r>
        <w:r w:rsidRPr="004E6A3C">
          <w:rPr>
            <w:rFonts w:ascii="Century Gothic" w:hAnsi="Century Gothic"/>
          </w:rPr>
          <w:fldChar w:fldCharType="begin"/>
        </w:r>
        <w:r w:rsidRPr="004E6A3C">
          <w:rPr>
            <w:rFonts w:ascii="Century Gothic" w:hAnsi="Century Gothic"/>
          </w:rPr>
          <w:instrText xml:space="preserve"> PAGE   \* MERGEFORMAT </w:instrText>
        </w:r>
        <w:r w:rsidRPr="004E6A3C">
          <w:rPr>
            <w:rFonts w:ascii="Century Gothic" w:hAnsi="Century Gothic"/>
          </w:rPr>
          <w:fldChar w:fldCharType="separate"/>
        </w:r>
        <w:r>
          <w:rPr>
            <w:rFonts w:ascii="Century Gothic" w:hAnsi="Century Gothic"/>
            <w:noProof/>
          </w:rPr>
          <w:t>3</w:t>
        </w:r>
        <w:r w:rsidRPr="004E6A3C">
          <w:rPr>
            <w:rFonts w:ascii="Century Gothic" w:hAnsi="Century Gothic"/>
            <w:noProof/>
          </w:rPr>
          <w:fldChar w:fldCharType="end"/>
        </w:r>
        <w:r w:rsidRPr="004E6A3C">
          <w:rPr>
            <w:rFonts w:ascii="Century Gothic" w:hAnsi="Century Gothic"/>
          </w:rPr>
          <w:t xml:space="preserve"> </w:t>
        </w:r>
      </w:p>
    </w:sdtContent>
  </w:sdt>
  <w:p w14:paraId="19A1FCA6" w14:textId="77777777" w:rsidR="00E577EE" w:rsidRPr="004E6A3C" w:rsidRDefault="00E577EE">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DC28" w14:textId="77777777" w:rsidR="00E577EE" w:rsidRDefault="00E577EE">
      <w:pPr>
        <w:spacing w:after="0" w:line="240" w:lineRule="auto"/>
      </w:pPr>
      <w:r>
        <w:separator/>
      </w:r>
    </w:p>
  </w:footnote>
  <w:footnote w:type="continuationSeparator" w:id="0">
    <w:p w14:paraId="3CF1DFAC" w14:textId="77777777" w:rsidR="00E577EE" w:rsidRDefault="00E577EE">
      <w:pPr>
        <w:spacing w:after="0" w:line="240" w:lineRule="auto"/>
      </w:pPr>
      <w:r>
        <w:continuationSeparator/>
      </w:r>
    </w:p>
  </w:footnote>
  <w:footnote w:type="continuationNotice" w:id="1">
    <w:p w14:paraId="7D6FDB39" w14:textId="77777777" w:rsidR="00E577EE" w:rsidRDefault="00E57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2943" w14:textId="77777777" w:rsidR="00E577EE" w:rsidRDefault="48821630" w:rsidP="00E577EE">
    <w:pPr>
      <w:pStyle w:val="Header"/>
      <w:jc w:val="right"/>
    </w:pPr>
    <w:r>
      <w:rPr>
        <w:noProof/>
      </w:rPr>
      <w:drawing>
        <wp:inline distT="0" distB="0" distL="0" distR="0" wp14:anchorId="4A8A030A" wp14:editId="76BD7F16">
          <wp:extent cx="648000" cy="648000"/>
          <wp:effectExtent l="0" t="0" r="0" b="0"/>
          <wp:docPr id="3" name="Picture 3" descr="C:\Users\Simon Coyle\Downloads\TBC Logo Primary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26B21"/>
    <w:multiLevelType w:val="hybridMultilevel"/>
    <w:tmpl w:val="BDDC3872"/>
    <w:lvl w:ilvl="0" w:tplc="E960B168">
      <w:start w:val="1"/>
      <w:numFmt w:val="decimal"/>
      <w:lvlText w:val="%1."/>
      <w:lvlJc w:val="left"/>
      <w:pPr>
        <w:ind w:left="720" w:hanging="360"/>
      </w:pPr>
      <w:rPr>
        <w:rFonts w:ascii="Century Gothic" w:hAnsi="Century Gothic"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F2959"/>
    <w:multiLevelType w:val="hybridMultilevel"/>
    <w:tmpl w:val="154E9FC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86"/>
    <w:rsid w:val="00047A59"/>
    <w:rsid w:val="00092FBF"/>
    <w:rsid w:val="000972A8"/>
    <w:rsid w:val="000B0532"/>
    <w:rsid w:val="000F0C49"/>
    <w:rsid w:val="00100833"/>
    <w:rsid w:val="001047F0"/>
    <w:rsid w:val="00120BC8"/>
    <w:rsid w:val="00151463"/>
    <w:rsid w:val="00161F8D"/>
    <w:rsid w:val="00180329"/>
    <w:rsid w:val="001A761D"/>
    <w:rsid w:val="001C2C91"/>
    <w:rsid w:val="001C785D"/>
    <w:rsid w:val="002215BE"/>
    <w:rsid w:val="00263228"/>
    <w:rsid w:val="002821A0"/>
    <w:rsid w:val="002F2C78"/>
    <w:rsid w:val="00331EAF"/>
    <w:rsid w:val="00353848"/>
    <w:rsid w:val="00371CD8"/>
    <w:rsid w:val="00376A36"/>
    <w:rsid w:val="00384ACE"/>
    <w:rsid w:val="00393E55"/>
    <w:rsid w:val="003B4E00"/>
    <w:rsid w:val="003E69C8"/>
    <w:rsid w:val="00405520"/>
    <w:rsid w:val="00423FE3"/>
    <w:rsid w:val="00425AC3"/>
    <w:rsid w:val="00435ECE"/>
    <w:rsid w:val="00456862"/>
    <w:rsid w:val="00476DAA"/>
    <w:rsid w:val="00562E5C"/>
    <w:rsid w:val="00585AE8"/>
    <w:rsid w:val="005940F3"/>
    <w:rsid w:val="005C6FC0"/>
    <w:rsid w:val="005F1B1A"/>
    <w:rsid w:val="00610925"/>
    <w:rsid w:val="006209D3"/>
    <w:rsid w:val="00640852"/>
    <w:rsid w:val="00657824"/>
    <w:rsid w:val="00672A24"/>
    <w:rsid w:val="00687DD3"/>
    <w:rsid w:val="006B65B2"/>
    <w:rsid w:val="006C0B93"/>
    <w:rsid w:val="006F0EC3"/>
    <w:rsid w:val="006F194E"/>
    <w:rsid w:val="007032D9"/>
    <w:rsid w:val="0071009D"/>
    <w:rsid w:val="00751B35"/>
    <w:rsid w:val="007B72CD"/>
    <w:rsid w:val="007D3A18"/>
    <w:rsid w:val="007D4491"/>
    <w:rsid w:val="00815BEF"/>
    <w:rsid w:val="00857456"/>
    <w:rsid w:val="00861C45"/>
    <w:rsid w:val="00866708"/>
    <w:rsid w:val="008857D3"/>
    <w:rsid w:val="00890682"/>
    <w:rsid w:val="008B1E94"/>
    <w:rsid w:val="008B6E2F"/>
    <w:rsid w:val="008C0E42"/>
    <w:rsid w:val="008E7C88"/>
    <w:rsid w:val="008F3705"/>
    <w:rsid w:val="00900D1C"/>
    <w:rsid w:val="00920C95"/>
    <w:rsid w:val="009458EC"/>
    <w:rsid w:val="009524D9"/>
    <w:rsid w:val="009860B2"/>
    <w:rsid w:val="009931B3"/>
    <w:rsid w:val="009A76F0"/>
    <w:rsid w:val="009B3426"/>
    <w:rsid w:val="009D6756"/>
    <w:rsid w:val="009E1D8A"/>
    <w:rsid w:val="009F7C75"/>
    <w:rsid w:val="00A26C93"/>
    <w:rsid w:val="00A4582C"/>
    <w:rsid w:val="00AA7606"/>
    <w:rsid w:val="00AD088A"/>
    <w:rsid w:val="00AE40F1"/>
    <w:rsid w:val="00B40639"/>
    <w:rsid w:val="00B61AB6"/>
    <w:rsid w:val="00B77971"/>
    <w:rsid w:val="00B855F4"/>
    <w:rsid w:val="00B92CBE"/>
    <w:rsid w:val="00BB4EAB"/>
    <w:rsid w:val="00BE38A8"/>
    <w:rsid w:val="00BF3758"/>
    <w:rsid w:val="00C36986"/>
    <w:rsid w:val="00CA0A09"/>
    <w:rsid w:val="00CA4A91"/>
    <w:rsid w:val="00CC4BF2"/>
    <w:rsid w:val="00CE3051"/>
    <w:rsid w:val="00CF216E"/>
    <w:rsid w:val="00CF3250"/>
    <w:rsid w:val="00D02036"/>
    <w:rsid w:val="00D20315"/>
    <w:rsid w:val="00D31A6F"/>
    <w:rsid w:val="00D64C22"/>
    <w:rsid w:val="00D854FC"/>
    <w:rsid w:val="00D86345"/>
    <w:rsid w:val="00D955FB"/>
    <w:rsid w:val="00DB642A"/>
    <w:rsid w:val="00E000CE"/>
    <w:rsid w:val="00E0087B"/>
    <w:rsid w:val="00E51611"/>
    <w:rsid w:val="00E577EE"/>
    <w:rsid w:val="00E93A69"/>
    <w:rsid w:val="00F00195"/>
    <w:rsid w:val="00F446DE"/>
    <w:rsid w:val="00F7764A"/>
    <w:rsid w:val="00FC4DFD"/>
    <w:rsid w:val="00FF5836"/>
    <w:rsid w:val="04EDC789"/>
    <w:rsid w:val="05EC2830"/>
    <w:rsid w:val="0C449FBD"/>
    <w:rsid w:val="1386DEF3"/>
    <w:rsid w:val="19030B75"/>
    <w:rsid w:val="19D9EEAC"/>
    <w:rsid w:val="24199EE3"/>
    <w:rsid w:val="28F38652"/>
    <w:rsid w:val="339634BC"/>
    <w:rsid w:val="3B3BE420"/>
    <w:rsid w:val="48821630"/>
    <w:rsid w:val="4D3CCA5E"/>
    <w:rsid w:val="57EE3962"/>
    <w:rsid w:val="60B52E8C"/>
    <w:rsid w:val="649CCA42"/>
    <w:rsid w:val="6FA823E9"/>
    <w:rsid w:val="7EB4A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87F0"/>
  <w15:chartTrackingRefBased/>
  <w15:docId w15:val="{BE6C431E-D2AB-4090-8B15-01597B8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986"/>
    <w:pPr>
      <w:tabs>
        <w:tab w:val="center" w:pos="4513"/>
        <w:tab w:val="right" w:pos="9026"/>
      </w:tabs>
      <w:spacing w:after="0" w:line="240" w:lineRule="auto"/>
    </w:pPr>
    <w:rPr>
      <w:rFonts w:ascii="Gilroy Light" w:hAnsi="Gilroy Light"/>
      <w:sz w:val="20"/>
    </w:rPr>
  </w:style>
  <w:style w:type="character" w:customStyle="1" w:styleId="HeaderChar">
    <w:name w:val="Header Char"/>
    <w:basedOn w:val="DefaultParagraphFont"/>
    <w:link w:val="Header"/>
    <w:uiPriority w:val="99"/>
    <w:rsid w:val="00C36986"/>
    <w:rPr>
      <w:rFonts w:ascii="Gilroy Light" w:hAnsi="Gilroy Light"/>
      <w:sz w:val="20"/>
    </w:rPr>
  </w:style>
  <w:style w:type="paragraph" w:styleId="Footer">
    <w:name w:val="footer"/>
    <w:basedOn w:val="Normal"/>
    <w:link w:val="FooterChar"/>
    <w:uiPriority w:val="99"/>
    <w:unhideWhenUsed/>
    <w:rsid w:val="00C36986"/>
    <w:pPr>
      <w:tabs>
        <w:tab w:val="center" w:pos="4513"/>
        <w:tab w:val="right" w:pos="9026"/>
      </w:tabs>
      <w:spacing w:after="0" w:line="240" w:lineRule="auto"/>
    </w:pPr>
    <w:rPr>
      <w:rFonts w:ascii="Gilroy Light" w:hAnsi="Gilroy Light"/>
      <w:sz w:val="20"/>
    </w:rPr>
  </w:style>
  <w:style w:type="character" w:customStyle="1" w:styleId="FooterChar">
    <w:name w:val="Footer Char"/>
    <w:basedOn w:val="DefaultParagraphFont"/>
    <w:link w:val="Footer"/>
    <w:uiPriority w:val="99"/>
    <w:rsid w:val="00C36986"/>
    <w:rPr>
      <w:rFonts w:ascii="Gilroy Light" w:hAnsi="Gilroy Light"/>
      <w:sz w:val="20"/>
    </w:rPr>
  </w:style>
  <w:style w:type="paragraph" w:styleId="CommentText">
    <w:name w:val="annotation text"/>
    <w:basedOn w:val="Normal"/>
    <w:link w:val="CommentTextChar"/>
    <w:uiPriority w:val="99"/>
    <w:semiHidden/>
    <w:unhideWhenUsed/>
    <w:rsid w:val="00C36986"/>
    <w:pPr>
      <w:spacing w:before="160" w:line="240" w:lineRule="auto"/>
    </w:pPr>
    <w:rPr>
      <w:rFonts w:ascii="Gilroy Light" w:hAnsi="Gilroy Light"/>
      <w:sz w:val="20"/>
      <w:szCs w:val="20"/>
    </w:rPr>
  </w:style>
  <w:style w:type="character" w:customStyle="1" w:styleId="CommentTextChar">
    <w:name w:val="Comment Text Char"/>
    <w:basedOn w:val="DefaultParagraphFont"/>
    <w:link w:val="CommentText"/>
    <w:uiPriority w:val="99"/>
    <w:semiHidden/>
    <w:rsid w:val="00C36986"/>
    <w:rPr>
      <w:rFonts w:ascii="Gilroy Light" w:hAnsi="Gilroy Light"/>
      <w:sz w:val="20"/>
      <w:szCs w:val="20"/>
    </w:rPr>
  </w:style>
  <w:style w:type="character" w:styleId="CommentReference">
    <w:name w:val="annotation reference"/>
    <w:basedOn w:val="DefaultParagraphFont"/>
    <w:uiPriority w:val="99"/>
    <w:semiHidden/>
    <w:unhideWhenUsed/>
    <w:rsid w:val="00C36986"/>
    <w:rPr>
      <w:sz w:val="16"/>
      <w:szCs w:val="16"/>
    </w:rPr>
  </w:style>
  <w:style w:type="table" w:customStyle="1" w:styleId="TableGridLight1">
    <w:name w:val="Table Grid Light1"/>
    <w:basedOn w:val="TableNormal"/>
    <w:uiPriority w:val="99"/>
    <w:rsid w:val="00C369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3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98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C36986"/>
    <w:rPr>
      <w:rFonts w:ascii="Gilroy Light" w:hAnsi="Gilroy Light"/>
      <w:b/>
      <w:bCs/>
      <w:sz w:val="20"/>
      <w:szCs w:val="20"/>
    </w:rPr>
  </w:style>
  <w:style w:type="paragraph" w:styleId="ListParagraph">
    <w:name w:val="List Paragraph"/>
    <w:basedOn w:val="Normal"/>
    <w:uiPriority w:val="34"/>
    <w:qFormat/>
    <w:rsid w:val="008F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7" ma:contentTypeDescription="Create a new document." ma:contentTypeScope="" ma:versionID="2e81c911fad29a4d653846150c66a7ff">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5bdff0d49bc1adb0cc5a22e444944d95"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3127-F111-48EB-AAEA-6A0A2D6EA544}">
  <ds:schemaRefs>
    <ds:schemaRef ds:uri="http://purl.org/dc/terms/"/>
    <ds:schemaRef ds:uri="0a78171b-79ba-49c9-a65d-fc675f22b952"/>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1542a7d8-bd83-43ab-8eb2-632ec700333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140AD3A-564F-45E0-A0F5-4FB6452F1F82}">
  <ds:schemaRefs>
    <ds:schemaRef ds:uri="http://schemas.microsoft.com/sharepoint/v3/contenttype/forms"/>
  </ds:schemaRefs>
</ds:datastoreItem>
</file>

<file path=customXml/itemProps3.xml><?xml version="1.0" encoding="utf-8"?>
<ds:datastoreItem xmlns:ds="http://schemas.openxmlformats.org/officeDocument/2006/customXml" ds:itemID="{785DF103-5794-4699-9790-700EBEB3D984}"/>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Bellaera</dc:creator>
  <cp:keywords/>
  <dc:description/>
  <cp:lastModifiedBy>Lauren Bellaera</cp:lastModifiedBy>
  <cp:revision>2</cp:revision>
  <dcterms:created xsi:type="dcterms:W3CDTF">2021-05-14T14:16:00Z</dcterms:created>
  <dcterms:modified xsi:type="dcterms:W3CDTF">2021-05-14T14:16:00Z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