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0D03" w14:textId="430BEF9A" w:rsidR="0013694A" w:rsidRDefault="000758C3" w:rsidP="000758C3">
      <w:pPr>
        <w:pStyle w:val="Head1"/>
      </w:pPr>
      <w:r>
        <w:t>Jargon Buster</w:t>
      </w:r>
    </w:p>
    <w:p w14:paraId="6AE15DAD" w14:textId="4EF05249"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Alumni</w:t>
      </w:r>
      <w:r w:rsidRPr="000758C3">
        <w:rPr>
          <w:rStyle w:val="normaltextrun"/>
          <w:rFonts w:asciiTheme="majorHAnsi" w:eastAsiaTheme="majorEastAsia" w:hAnsiTheme="majorHAnsi" w:cs="Calibri"/>
          <w:sz w:val="22"/>
          <w:szCs w:val="22"/>
        </w:rPr>
        <w:t xml:space="preserve"> refers to a group of graduates, particular a group of graduates from a specific </w:t>
      </w:r>
      <w:proofErr w:type="gramStart"/>
      <w:r w:rsidRPr="000758C3">
        <w:rPr>
          <w:rStyle w:val="normaltextrun"/>
          <w:rFonts w:asciiTheme="majorHAnsi" w:eastAsiaTheme="majorEastAsia" w:hAnsiTheme="majorHAnsi" w:cs="Calibri"/>
          <w:sz w:val="22"/>
          <w:szCs w:val="22"/>
        </w:rPr>
        <w:t>institution</w:t>
      </w:r>
      <w:proofErr w:type="gramEnd"/>
    </w:p>
    <w:p w14:paraId="7491A79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2D39860" w14:textId="07FE4316"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BA</w:t>
      </w:r>
      <w:r w:rsidRPr="000758C3">
        <w:rPr>
          <w:rStyle w:val="normaltextrun"/>
          <w:rFonts w:asciiTheme="majorHAnsi" w:eastAsiaTheme="majorEastAsia" w:hAnsiTheme="majorHAnsi" w:cs="Calibri"/>
          <w:sz w:val="22"/>
          <w:szCs w:val="22"/>
        </w:rPr>
        <w:t xml:space="preserve"> stands for Bachelor of Arts, a qualification awarded to students who complete an undergraduate degree in the arts, humanities, or social sciences.</w:t>
      </w:r>
    </w:p>
    <w:p w14:paraId="40606561"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15935956" w14:textId="77777777" w:rsidR="000758C3" w:rsidRDefault="000758C3" w:rsidP="000758C3">
      <w:pPr>
        <w:pStyle w:val="paragraph"/>
        <w:spacing w:before="0" w:beforeAutospacing="0" w:after="0" w:afterAutospacing="0"/>
        <w:textAlignment w:val="baseline"/>
        <w:rPr>
          <w:rStyle w:val="normaltextrun"/>
          <w:rFonts w:asciiTheme="majorHAnsi" w:eastAsiaTheme="majorEastAsia" w:hAnsiTheme="majorHAnsi" w:cs="Calibri"/>
          <w:sz w:val="22"/>
          <w:szCs w:val="22"/>
        </w:rPr>
      </w:pPr>
      <w:r w:rsidRPr="000758C3">
        <w:rPr>
          <w:rStyle w:val="normaltextrun"/>
          <w:rFonts w:asciiTheme="majorHAnsi" w:eastAsiaTheme="majorEastAsia" w:hAnsiTheme="majorHAnsi" w:cs="Calibri"/>
          <w:b/>
          <w:bCs/>
          <w:sz w:val="22"/>
          <w:szCs w:val="22"/>
        </w:rPr>
        <w:t>BEng</w:t>
      </w:r>
      <w:r w:rsidRPr="000758C3">
        <w:rPr>
          <w:rStyle w:val="normaltextrun"/>
          <w:rFonts w:asciiTheme="majorHAnsi" w:eastAsiaTheme="majorEastAsia" w:hAnsiTheme="majorHAnsi" w:cs="Calibri"/>
          <w:sz w:val="22"/>
          <w:szCs w:val="22"/>
        </w:rPr>
        <w:t xml:space="preserve"> stands for Bachelor of Engineering, a qualification awarded to students who complete an undergraduate degree in engineering (software, robotics, and physics).</w:t>
      </w:r>
    </w:p>
    <w:p w14:paraId="6A8995AE" w14:textId="4D1E118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eop"/>
          <w:rFonts w:asciiTheme="majorHAnsi" w:hAnsiTheme="majorHAnsi" w:cs="Calibri"/>
          <w:sz w:val="22"/>
          <w:szCs w:val="22"/>
        </w:rPr>
        <w:t> </w:t>
      </w:r>
    </w:p>
    <w:p w14:paraId="3B402940" w14:textId="50D7044B"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BSc</w:t>
      </w:r>
      <w:r w:rsidRPr="000758C3">
        <w:rPr>
          <w:rStyle w:val="normaltextrun"/>
          <w:rFonts w:asciiTheme="majorHAnsi" w:eastAsiaTheme="majorEastAsia" w:hAnsiTheme="majorHAnsi" w:cs="Calibri"/>
          <w:sz w:val="22"/>
          <w:szCs w:val="22"/>
        </w:rPr>
        <w:t xml:space="preserve"> stands for Bachelor of Science, a qualification awarded to students who complete an undergraduate degree in the sciences.</w:t>
      </w:r>
      <w:r w:rsidRPr="000758C3">
        <w:rPr>
          <w:rStyle w:val="eop"/>
          <w:rFonts w:asciiTheme="majorHAnsi" w:hAnsiTheme="majorHAnsi" w:cs="Calibri"/>
          <w:sz w:val="22"/>
          <w:szCs w:val="22"/>
        </w:rPr>
        <w:t> </w:t>
      </w:r>
    </w:p>
    <w:p w14:paraId="63CC9918"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77B4B73" w14:textId="3B1A247B"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bachelor’s degree</w:t>
      </w:r>
      <w:r w:rsidRPr="000758C3">
        <w:rPr>
          <w:rStyle w:val="normaltextrun"/>
          <w:rFonts w:asciiTheme="majorHAnsi" w:eastAsiaTheme="majorEastAsia" w:hAnsiTheme="majorHAnsi" w:cs="Calibri"/>
          <w:sz w:val="22"/>
          <w:szCs w:val="22"/>
        </w:rPr>
        <w:t xml:space="preserve"> is the qualification a student receives when they complete an undergraduate degree. BA, BEng, and BSc are different types of bachelor’s degree.</w:t>
      </w:r>
      <w:r w:rsidRPr="000758C3">
        <w:rPr>
          <w:rStyle w:val="eop"/>
          <w:rFonts w:asciiTheme="majorHAnsi" w:hAnsiTheme="majorHAnsi" w:cs="Calibri"/>
          <w:sz w:val="22"/>
          <w:szCs w:val="22"/>
        </w:rPr>
        <w:t> </w:t>
      </w:r>
    </w:p>
    <w:p w14:paraId="74F658B3"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400A5464" w14:textId="29B5B8F3"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bursary</w:t>
      </w:r>
      <w:r w:rsidRPr="000758C3">
        <w:rPr>
          <w:rStyle w:val="normaltextrun"/>
          <w:rFonts w:asciiTheme="majorHAnsi" w:eastAsiaTheme="majorEastAsia" w:hAnsiTheme="majorHAnsi" w:cs="Calibri"/>
          <w:sz w:val="22"/>
          <w:szCs w:val="22"/>
        </w:rPr>
        <w:t xml:space="preserve"> is a non-repayable sum of money awarded to a student by a university or college.</w:t>
      </w:r>
      <w:r w:rsidRPr="000758C3">
        <w:rPr>
          <w:rStyle w:val="eop"/>
          <w:rFonts w:asciiTheme="majorHAnsi" w:hAnsiTheme="majorHAnsi" w:cs="Calibri"/>
          <w:sz w:val="22"/>
          <w:szCs w:val="22"/>
        </w:rPr>
        <w:t> </w:t>
      </w:r>
    </w:p>
    <w:p w14:paraId="3B8507B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7546375" w14:textId="3CAB442B"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campus</w:t>
      </w:r>
      <w:r w:rsidRPr="000758C3">
        <w:rPr>
          <w:rStyle w:val="normaltextrun"/>
          <w:rFonts w:asciiTheme="majorHAnsi" w:eastAsiaTheme="majorEastAsia" w:hAnsiTheme="majorHAnsi" w:cs="Calibri"/>
          <w:sz w:val="22"/>
          <w:szCs w:val="22"/>
        </w:rPr>
        <w:t xml:space="preserve"> is the main site of a university, often hosting university accommodation and teaching/leisure facilities.</w:t>
      </w:r>
    </w:p>
    <w:p w14:paraId="1163011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B786542" w14:textId="1E2E60B2"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Clearing</w:t>
      </w:r>
      <w:r w:rsidRPr="000758C3">
        <w:rPr>
          <w:rStyle w:val="normaltextrun"/>
          <w:rFonts w:asciiTheme="majorHAnsi" w:eastAsiaTheme="majorEastAsia" w:hAnsiTheme="majorHAnsi" w:cs="Calibri"/>
          <w:sz w:val="22"/>
          <w:szCs w:val="22"/>
        </w:rPr>
        <w:t xml:space="preserve"> is a system UCAS use to fill remaining spaces on university courses between July and October. It gives applicants an opportunity to apply directly to a university or college if they are not holding an offer from another institution.</w:t>
      </w:r>
      <w:r w:rsidRPr="000758C3">
        <w:rPr>
          <w:rStyle w:val="eop"/>
          <w:rFonts w:asciiTheme="majorHAnsi" w:hAnsiTheme="majorHAnsi" w:cs="Calibri"/>
          <w:sz w:val="22"/>
          <w:szCs w:val="22"/>
        </w:rPr>
        <w:t> </w:t>
      </w:r>
    </w:p>
    <w:p w14:paraId="7440581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44D16214" w14:textId="7281DA4C" w:rsidR="000758C3" w:rsidRP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college</w:t>
      </w:r>
      <w:r w:rsidRPr="000758C3">
        <w:rPr>
          <w:rStyle w:val="normaltextrun"/>
          <w:rFonts w:asciiTheme="majorHAnsi" w:eastAsiaTheme="majorEastAsia" w:hAnsiTheme="majorHAnsi" w:cs="Calibri"/>
          <w:sz w:val="22"/>
          <w:szCs w:val="22"/>
        </w:rPr>
        <w:t xml:space="preserve"> is an educational institution that</w:t>
      </w:r>
      <w:r w:rsidRPr="000758C3">
        <w:rPr>
          <w:rStyle w:val="normaltextrun"/>
          <w:rFonts w:asciiTheme="majorHAnsi" w:eastAsiaTheme="majorEastAsia" w:hAnsiTheme="majorHAnsi" w:cs="Calibri"/>
          <w:b/>
          <w:bCs/>
          <w:sz w:val="22"/>
          <w:szCs w:val="22"/>
        </w:rPr>
        <w:t xml:space="preserve"> </w:t>
      </w:r>
      <w:r w:rsidRPr="000758C3">
        <w:rPr>
          <w:rStyle w:val="normaltextrun"/>
          <w:rFonts w:asciiTheme="majorHAnsi" w:eastAsiaTheme="majorEastAsia" w:hAnsiTheme="majorHAnsi" w:cs="Calibri"/>
          <w:sz w:val="22"/>
          <w:szCs w:val="22"/>
        </w:rPr>
        <w:t>provides further education courses, including A-Levels, T Levels, Highers and BTECs. 240 colleges in the UK also offer higher education courses, such as full-honours degrees, Higher National Certificates and Higher National Diplomas. Some universities also have colleges, which provide higher education courses. Unlike a college providing further education courses, university colleges operate as part of a larger university.</w:t>
      </w:r>
    </w:p>
    <w:p w14:paraId="7AA09CE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FAC6F96" w14:textId="6B1D7ABC"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conditional offer</w:t>
      </w:r>
      <w:r w:rsidRPr="000758C3">
        <w:rPr>
          <w:rStyle w:val="normaltextrun"/>
          <w:rFonts w:asciiTheme="majorHAnsi" w:eastAsiaTheme="majorEastAsia" w:hAnsiTheme="majorHAnsi" w:cs="Calibri"/>
          <w:sz w:val="22"/>
          <w:szCs w:val="22"/>
        </w:rPr>
        <w:t xml:space="preserve"> means a student is guaranteed a place on a course at a university or college on the basis that they meet certain conditions. These conditions might be achieving specific grades in pending qualifications, providing a financial guarantee, or successfully passing a DBS, a PVG or </w:t>
      </w:r>
      <w:proofErr w:type="spellStart"/>
      <w:r w:rsidRPr="000758C3">
        <w:rPr>
          <w:rStyle w:val="normaltextrun"/>
          <w:rFonts w:asciiTheme="majorHAnsi" w:eastAsiaTheme="majorEastAsia" w:hAnsiTheme="majorHAnsi" w:cs="Calibri"/>
          <w:sz w:val="22"/>
          <w:szCs w:val="22"/>
        </w:rPr>
        <w:t>AccessNI</w:t>
      </w:r>
      <w:proofErr w:type="spellEnd"/>
      <w:r w:rsidRPr="000758C3">
        <w:rPr>
          <w:rStyle w:val="normaltextrun"/>
          <w:rFonts w:asciiTheme="majorHAnsi" w:eastAsiaTheme="majorEastAsia" w:hAnsiTheme="majorHAnsi" w:cs="Calibri"/>
          <w:sz w:val="22"/>
          <w:szCs w:val="22"/>
        </w:rPr>
        <w:t xml:space="preserve"> application depending on the country you are studying in.</w:t>
      </w:r>
      <w:r w:rsidRPr="000758C3">
        <w:rPr>
          <w:rStyle w:val="eop"/>
          <w:rFonts w:asciiTheme="majorHAnsi" w:hAnsiTheme="majorHAnsi" w:cs="Calibri"/>
          <w:sz w:val="22"/>
          <w:szCs w:val="22"/>
        </w:rPr>
        <w:t> </w:t>
      </w:r>
    </w:p>
    <w:p w14:paraId="6EDBC89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753BEFA1" w14:textId="77777777" w:rsidR="000758C3" w:rsidRDefault="000758C3" w:rsidP="000758C3">
      <w:pPr>
        <w:pStyle w:val="paragraph"/>
        <w:spacing w:before="0" w:beforeAutospacing="0" w:after="0" w:afterAutospacing="0"/>
        <w:textAlignment w:val="baseline"/>
        <w:rPr>
          <w:rStyle w:val="normaltextrun"/>
          <w:rFonts w:asciiTheme="majorHAnsi" w:eastAsiaTheme="majorEastAsia" w:hAnsiTheme="majorHAnsi" w:cs="Calibri"/>
          <w:sz w:val="22"/>
          <w:szCs w:val="22"/>
        </w:rPr>
      </w:pPr>
      <w:r w:rsidRPr="000758C3">
        <w:rPr>
          <w:rStyle w:val="normaltextrun"/>
          <w:rFonts w:asciiTheme="majorHAnsi" w:eastAsiaTheme="majorEastAsia" w:hAnsiTheme="majorHAnsi" w:cs="Calibri"/>
          <w:b/>
          <w:bCs/>
          <w:sz w:val="22"/>
          <w:szCs w:val="22"/>
        </w:rPr>
        <w:t xml:space="preserve">Deferring </w:t>
      </w:r>
      <w:r w:rsidRPr="000758C3">
        <w:rPr>
          <w:rStyle w:val="normaltextrun"/>
          <w:rFonts w:asciiTheme="majorHAnsi" w:eastAsiaTheme="majorEastAsia" w:hAnsiTheme="majorHAnsi" w:cs="Calibri"/>
          <w:sz w:val="22"/>
          <w:szCs w:val="22"/>
        </w:rPr>
        <w:t>is the formal term for taking a year out or gap year between applying to and starting a university or college course. </w:t>
      </w:r>
    </w:p>
    <w:p w14:paraId="05418A90" w14:textId="64FA6685"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eop"/>
          <w:rFonts w:asciiTheme="majorHAnsi" w:hAnsiTheme="majorHAnsi" w:cs="Calibri"/>
          <w:sz w:val="22"/>
          <w:szCs w:val="22"/>
        </w:rPr>
        <w:t> </w:t>
      </w:r>
    </w:p>
    <w:p w14:paraId="3E6D6B36" w14:textId="1764E23C"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dissertation</w:t>
      </w:r>
      <w:r w:rsidRPr="000758C3">
        <w:rPr>
          <w:rStyle w:val="normaltextrun"/>
          <w:rFonts w:asciiTheme="majorHAnsi" w:eastAsiaTheme="majorEastAsia" w:hAnsiTheme="majorHAnsi" w:cs="Calibri"/>
          <w:sz w:val="22"/>
          <w:szCs w:val="22"/>
        </w:rPr>
        <w:t xml:space="preserve"> is an extensive essay, report, or research project normally completed in the final year of an undergraduate degree.</w:t>
      </w:r>
      <w:r w:rsidRPr="000758C3">
        <w:rPr>
          <w:rStyle w:val="eop"/>
          <w:rFonts w:asciiTheme="majorHAnsi" w:hAnsiTheme="majorHAnsi" w:cs="Calibri"/>
          <w:sz w:val="22"/>
          <w:szCs w:val="22"/>
        </w:rPr>
        <w:t> </w:t>
      </w:r>
    </w:p>
    <w:p w14:paraId="1447DD42"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C831A98" w14:textId="77777777" w:rsidR="000758C3" w:rsidRDefault="000758C3" w:rsidP="000758C3">
      <w:pPr>
        <w:pStyle w:val="paragraph"/>
        <w:spacing w:before="0" w:beforeAutospacing="0" w:after="0" w:afterAutospacing="0"/>
        <w:textAlignment w:val="baseline"/>
        <w:rPr>
          <w:rStyle w:val="normaltextrun"/>
          <w:rFonts w:asciiTheme="majorHAnsi" w:eastAsiaTheme="majorEastAsia" w:hAnsiTheme="majorHAnsi" w:cs="Calibri"/>
          <w:sz w:val="22"/>
          <w:szCs w:val="22"/>
        </w:rPr>
      </w:pPr>
      <w:r w:rsidRPr="000758C3">
        <w:rPr>
          <w:rStyle w:val="normaltextrun"/>
          <w:rFonts w:asciiTheme="majorHAnsi" w:eastAsiaTheme="majorEastAsia" w:hAnsiTheme="majorHAnsi" w:cs="Calibri"/>
          <w:b/>
          <w:bCs/>
          <w:sz w:val="22"/>
          <w:szCs w:val="22"/>
        </w:rPr>
        <w:t>Entry requirements</w:t>
      </w:r>
      <w:r w:rsidRPr="000758C3">
        <w:rPr>
          <w:rStyle w:val="normaltextrun"/>
          <w:rFonts w:asciiTheme="majorHAnsi" w:eastAsiaTheme="majorEastAsia" w:hAnsiTheme="majorHAnsi" w:cs="Calibri"/>
          <w:sz w:val="22"/>
          <w:szCs w:val="22"/>
        </w:rPr>
        <w:t xml:space="preserve"> are criteria applicants need to meet to be considered for a degree course. For example, many universities and colleges will expect applicants to have specific qualifications, subjects, and exam grades to be considered for a degree course.</w:t>
      </w:r>
    </w:p>
    <w:p w14:paraId="06B6D99A" w14:textId="23FFEF11"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normaltextrun"/>
          <w:rFonts w:asciiTheme="majorHAnsi" w:eastAsiaTheme="majorEastAsia" w:hAnsiTheme="majorHAnsi" w:cs="Calibri"/>
          <w:sz w:val="22"/>
          <w:szCs w:val="22"/>
        </w:rPr>
        <w:t> </w:t>
      </w:r>
      <w:r w:rsidRPr="000758C3">
        <w:rPr>
          <w:rStyle w:val="eop"/>
          <w:rFonts w:asciiTheme="majorHAnsi" w:hAnsiTheme="majorHAnsi" w:cs="Calibri"/>
          <w:sz w:val="22"/>
          <w:szCs w:val="22"/>
        </w:rPr>
        <w:t> </w:t>
      </w:r>
    </w:p>
    <w:p w14:paraId="2FC69A66"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normaltextrun"/>
          <w:rFonts w:asciiTheme="majorHAnsi" w:eastAsiaTheme="majorEastAsia" w:hAnsiTheme="majorHAnsi" w:cs="Calibri"/>
          <w:b/>
          <w:bCs/>
          <w:sz w:val="22"/>
          <w:szCs w:val="22"/>
        </w:rPr>
        <w:t>Freshers' Week</w:t>
      </w:r>
      <w:r w:rsidRPr="000758C3">
        <w:rPr>
          <w:rStyle w:val="normaltextrun"/>
          <w:rFonts w:asciiTheme="majorHAnsi" w:eastAsiaTheme="majorEastAsia" w:hAnsiTheme="majorHAnsi" w:cs="Calibri"/>
          <w:sz w:val="22"/>
          <w:szCs w:val="22"/>
        </w:rPr>
        <w:t xml:space="preserve"> is a week of events and activities designed to welcome new students when they arrive at university. </w:t>
      </w:r>
      <w:r w:rsidRPr="000758C3">
        <w:rPr>
          <w:rStyle w:val="eop"/>
          <w:rFonts w:asciiTheme="majorHAnsi" w:hAnsiTheme="majorHAnsi" w:cs="Calibri"/>
          <w:sz w:val="22"/>
          <w:szCs w:val="22"/>
        </w:rPr>
        <w:t> </w:t>
      </w:r>
    </w:p>
    <w:p w14:paraId="711E1065" w14:textId="3CA014A2"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lastRenderedPageBreak/>
        <w:t xml:space="preserve">A </w:t>
      </w:r>
      <w:r w:rsidRPr="000758C3">
        <w:rPr>
          <w:rStyle w:val="normaltextrun"/>
          <w:rFonts w:asciiTheme="majorHAnsi" w:eastAsiaTheme="majorEastAsia" w:hAnsiTheme="majorHAnsi" w:cs="Calibri"/>
          <w:b/>
          <w:bCs/>
          <w:sz w:val="22"/>
          <w:szCs w:val="22"/>
        </w:rPr>
        <w:t>foundation year</w:t>
      </w:r>
      <w:r w:rsidRPr="000758C3">
        <w:rPr>
          <w:rStyle w:val="normaltextrun"/>
          <w:rFonts w:asciiTheme="majorHAnsi" w:eastAsiaTheme="majorEastAsia" w:hAnsiTheme="majorHAnsi" w:cs="Calibri"/>
          <w:sz w:val="22"/>
          <w:szCs w:val="22"/>
        </w:rPr>
        <w:t xml:space="preserve"> is an additional year at the beginning of an undergraduate degree which prepares students for a full-degree programme by covering the foundations of a subject as well as key skills. </w:t>
      </w:r>
      <w:r w:rsidRPr="000758C3">
        <w:rPr>
          <w:rStyle w:val="eop"/>
          <w:rFonts w:asciiTheme="majorHAnsi" w:hAnsiTheme="majorHAnsi" w:cs="Calibri"/>
          <w:sz w:val="22"/>
          <w:szCs w:val="22"/>
        </w:rPr>
        <w:t> </w:t>
      </w:r>
    </w:p>
    <w:p w14:paraId="64445567"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967EEA0" w14:textId="2C8D465B"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Further education</w:t>
      </w:r>
      <w:r w:rsidRPr="000758C3">
        <w:rPr>
          <w:rStyle w:val="normaltextrun"/>
          <w:rFonts w:asciiTheme="majorHAnsi" w:eastAsiaTheme="majorEastAsia" w:hAnsiTheme="majorHAnsi" w:cs="Calibri"/>
          <w:sz w:val="22"/>
          <w:szCs w:val="22"/>
        </w:rPr>
        <w:t xml:space="preserve"> refers to any study after secondary education (high school) that is not a degree. A Levels, Scottish Highers, and T Levels are examples of qualifications offered in further education. </w:t>
      </w:r>
      <w:r w:rsidRPr="000758C3">
        <w:rPr>
          <w:rStyle w:val="eop"/>
          <w:rFonts w:asciiTheme="majorHAnsi" w:hAnsiTheme="majorHAnsi" w:cs="Calibri"/>
          <w:sz w:val="22"/>
          <w:szCs w:val="22"/>
        </w:rPr>
        <w:t> </w:t>
      </w:r>
    </w:p>
    <w:p w14:paraId="42D0E727"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133A3463" w14:textId="634091B1"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A</w:t>
      </w:r>
      <w:r w:rsidRPr="000758C3">
        <w:rPr>
          <w:rStyle w:val="normaltextrun"/>
          <w:rFonts w:asciiTheme="majorHAnsi" w:eastAsiaTheme="majorEastAsia" w:hAnsiTheme="majorHAnsi" w:cs="Calibri"/>
          <w:b/>
          <w:bCs/>
          <w:sz w:val="22"/>
          <w:szCs w:val="22"/>
        </w:rPr>
        <w:t xml:space="preserve"> gap year</w:t>
      </w:r>
      <w:r w:rsidRPr="000758C3">
        <w:rPr>
          <w:rStyle w:val="normaltextrun"/>
          <w:rFonts w:asciiTheme="majorHAnsi" w:eastAsiaTheme="majorEastAsia" w:hAnsiTheme="majorHAnsi" w:cs="Calibri"/>
          <w:sz w:val="22"/>
          <w:szCs w:val="22"/>
        </w:rPr>
        <w:t xml:space="preserve"> is a year-long break away from education some students choose to take before going to university.</w:t>
      </w:r>
      <w:r w:rsidRPr="000758C3">
        <w:rPr>
          <w:rStyle w:val="eop"/>
          <w:rFonts w:asciiTheme="majorHAnsi" w:hAnsiTheme="majorHAnsi" w:cs="Calibri"/>
          <w:sz w:val="22"/>
          <w:szCs w:val="22"/>
        </w:rPr>
        <w:t> </w:t>
      </w:r>
    </w:p>
    <w:p w14:paraId="3F221AED"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AF87FA6" w14:textId="1A6FD7F5"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graduate</w:t>
      </w:r>
      <w:r w:rsidRPr="000758C3">
        <w:rPr>
          <w:rStyle w:val="normaltextrun"/>
          <w:rFonts w:asciiTheme="majorHAnsi" w:eastAsiaTheme="majorEastAsia" w:hAnsiTheme="majorHAnsi" w:cs="Calibri"/>
          <w:sz w:val="22"/>
          <w:szCs w:val="22"/>
        </w:rPr>
        <w:t xml:space="preserve"> is someone who completes a university undergraduate degree.</w:t>
      </w:r>
      <w:r w:rsidRPr="000758C3">
        <w:rPr>
          <w:rStyle w:val="eop"/>
          <w:rFonts w:asciiTheme="majorHAnsi" w:hAnsiTheme="majorHAnsi" w:cs="Calibri"/>
          <w:sz w:val="22"/>
          <w:szCs w:val="22"/>
        </w:rPr>
        <w:t> </w:t>
      </w:r>
    </w:p>
    <w:p w14:paraId="4FBC8E05"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A45DA4B" w14:textId="0FA1429E"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graduation ceremony</w:t>
      </w:r>
      <w:r w:rsidRPr="000758C3">
        <w:rPr>
          <w:rStyle w:val="normaltextrun"/>
          <w:rFonts w:asciiTheme="majorHAnsi" w:eastAsiaTheme="majorEastAsia" w:hAnsiTheme="majorHAnsi" w:cs="Calibri"/>
          <w:sz w:val="22"/>
          <w:szCs w:val="22"/>
        </w:rPr>
        <w:t xml:space="preserve"> is a formal event for graduating students to officially collect their degrees. Students can invite some friends and family to these events and wear traditional robes and a mortarboard.</w:t>
      </w:r>
      <w:r w:rsidRPr="000758C3">
        <w:rPr>
          <w:rStyle w:val="eop"/>
          <w:rFonts w:asciiTheme="majorHAnsi" w:hAnsiTheme="majorHAnsi" w:cs="Calibri"/>
          <w:sz w:val="22"/>
          <w:szCs w:val="22"/>
        </w:rPr>
        <w:t> </w:t>
      </w:r>
    </w:p>
    <w:p w14:paraId="388550FC"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14D46B08" w14:textId="6D80A61E"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Halls of residence</w:t>
      </w:r>
      <w:r w:rsidRPr="000758C3">
        <w:rPr>
          <w:rStyle w:val="normaltextrun"/>
          <w:rFonts w:asciiTheme="majorHAnsi" w:eastAsiaTheme="majorEastAsia" w:hAnsiTheme="majorHAnsi" w:cs="Calibri"/>
          <w:sz w:val="22"/>
          <w:szCs w:val="22"/>
        </w:rPr>
        <w:t xml:space="preserve"> refers to accommodation provided by or affiliated with a university.</w:t>
      </w:r>
      <w:r w:rsidRPr="000758C3">
        <w:rPr>
          <w:rStyle w:val="eop"/>
          <w:rFonts w:asciiTheme="majorHAnsi" w:hAnsiTheme="majorHAnsi" w:cs="Calibri"/>
          <w:sz w:val="22"/>
          <w:szCs w:val="22"/>
        </w:rPr>
        <w:t> </w:t>
      </w:r>
    </w:p>
    <w:p w14:paraId="7B71AD2E"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41AC815" w14:textId="5D5C607D"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Higher education</w:t>
      </w:r>
      <w:r w:rsidRPr="000758C3">
        <w:rPr>
          <w:rStyle w:val="normaltextrun"/>
          <w:rFonts w:asciiTheme="majorHAnsi" w:eastAsiaTheme="majorEastAsia" w:hAnsiTheme="majorHAnsi" w:cs="Calibri"/>
          <w:sz w:val="22"/>
          <w:szCs w:val="22"/>
        </w:rPr>
        <w:t xml:space="preserve"> refers to the stage of education following further education. It can be taken after the age of 18 at either a university or college and usually leads to a degree. Scottish students, however, can enter higher education from the age of 16 </w:t>
      </w:r>
      <w:proofErr w:type="gramStart"/>
      <w:r w:rsidRPr="000758C3">
        <w:rPr>
          <w:rStyle w:val="normaltextrun"/>
          <w:rFonts w:asciiTheme="majorHAnsi" w:eastAsiaTheme="majorEastAsia" w:hAnsiTheme="majorHAnsi" w:cs="Calibri"/>
          <w:sz w:val="22"/>
          <w:szCs w:val="22"/>
        </w:rPr>
        <w:t>as long as</w:t>
      </w:r>
      <w:proofErr w:type="gramEnd"/>
      <w:r w:rsidRPr="000758C3">
        <w:rPr>
          <w:rStyle w:val="normaltextrun"/>
          <w:rFonts w:asciiTheme="majorHAnsi" w:eastAsiaTheme="majorEastAsia" w:hAnsiTheme="majorHAnsi" w:cs="Calibri"/>
          <w:sz w:val="22"/>
          <w:szCs w:val="22"/>
        </w:rPr>
        <w:t xml:space="preserve"> they meet the entry requirements.</w:t>
      </w:r>
      <w:r w:rsidRPr="000758C3">
        <w:rPr>
          <w:rStyle w:val="eop"/>
          <w:rFonts w:asciiTheme="majorHAnsi" w:hAnsiTheme="majorHAnsi" w:cs="Calibri"/>
          <w:sz w:val="22"/>
          <w:szCs w:val="22"/>
        </w:rPr>
        <w:t> </w:t>
      </w:r>
    </w:p>
    <w:p w14:paraId="4DD772CF"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027A8D9F" w14:textId="49C3BF81"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An </w:t>
      </w:r>
      <w:r w:rsidRPr="000758C3">
        <w:rPr>
          <w:rStyle w:val="normaltextrun"/>
          <w:rFonts w:asciiTheme="majorHAnsi" w:eastAsiaTheme="majorEastAsia" w:hAnsiTheme="majorHAnsi" w:cs="Calibri"/>
          <w:b/>
          <w:bCs/>
          <w:sz w:val="22"/>
          <w:szCs w:val="22"/>
        </w:rPr>
        <w:t>honours degree</w:t>
      </w:r>
      <w:r w:rsidRPr="000758C3">
        <w:rPr>
          <w:rStyle w:val="normaltextrun"/>
          <w:rFonts w:asciiTheme="majorHAnsi" w:eastAsiaTheme="majorEastAsia" w:hAnsiTheme="majorHAnsi" w:cs="Calibri"/>
          <w:sz w:val="22"/>
          <w:szCs w:val="22"/>
        </w:rPr>
        <w:t xml:space="preserve"> is a distinguished type of undergraduate degree. It is often abbreviated to Hons.</w:t>
      </w:r>
    </w:p>
    <w:p w14:paraId="75968842"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297C4E2" w14:textId="2AF6485C"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Joint honours</w:t>
      </w:r>
      <w:r w:rsidRPr="000758C3">
        <w:rPr>
          <w:rStyle w:val="normaltextrun"/>
          <w:rFonts w:asciiTheme="majorHAnsi" w:eastAsiaTheme="majorEastAsia" w:hAnsiTheme="majorHAnsi" w:cs="Calibri"/>
          <w:sz w:val="22"/>
          <w:szCs w:val="22"/>
        </w:rPr>
        <w:t xml:space="preserve"> refer to a university degree composed of two related subjects to degree level. Examples joint honours might include English and History or Mathematics and Economics.</w:t>
      </w:r>
      <w:r w:rsidRPr="000758C3">
        <w:rPr>
          <w:rStyle w:val="eop"/>
          <w:rFonts w:asciiTheme="majorHAnsi" w:hAnsiTheme="majorHAnsi" w:cs="Calibri"/>
          <w:sz w:val="22"/>
          <w:szCs w:val="22"/>
        </w:rPr>
        <w:t> </w:t>
      </w:r>
    </w:p>
    <w:p w14:paraId="4542B8FA"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236AE28" w14:textId="77777777" w:rsidR="000758C3" w:rsidRDefault="000758C3" w:rsidP="000758C3">
      <w:pPr>
        <w:pStyle w:val="paragraph"/>
        <w:spacing w:before="0" w:beforeAutospacing="0" w:after="0" w:afterAutospacing="0"/>
        <w:textAlignment w:val="baseline"/>
        <w:rPr>
          <w:rStyle w:val="normaltextrun"/>
          <w:rFonts w:asciiTheme="majorHAnsi" w:eastAsiaTheme="majorEastAsia"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lecture</w:t>
      </w:r>
      <w:r w:rsidRPr="000758C3">
        <w:rPr>
          <w:rStyle w:val="normaltextrun"/>
          <w:rFonts w:asciiTheme="majorHAnsi" w:eastAsiaTheme="majorEastAsia" w:hAnsiTheme="majorHAnsi" w:cs="Calibri"/>
          <w:sz w:val="22"/>
          <w:szCs w:val="22"/>
        </w:rPr>
        <w:t xml:space="preserve"> is a formal lesson or talk delivered by an academic to a large group of students. Traditionally, students listen and take notes in lectures but there can be some interaction between speaker and students. </w:t>
      </w:r>
    </w:p>
    <w:p w14:paraId="0368EDD2" w14:textId="2BBF3A92"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normaltextrun"/>
          <w:rFonts w:asciiTheme="majorHAnsi" w:eastAsiaTheme="majorEastAsia" w:hAnsiTheme="majorHAnsi" w:cs="Calibri"/>
          <w:sz w:val="22"/>
          <w:szCs w:val="22"/>
        </w:rPr>
        <w:t> </w:t>
      </w:r>
      <w:r w:rsidRPr="000758C3">
        <w:rPr>
          <w:rStyle w:val="eop"/>
          <w:rFonts w:asciiTheme="majorHAnsi" w:hAnsiTheme="majorHAnsi" w:cs="Calibri"/>
          <w:sz w:val="22"/>
          <w:szCs w:val="22"/>
        </w:rPr>
        <w:t> </w:t>
      </w:r>
    </w:p>
    <w:p w14:paraId="6B7841FD" w14:textId="66C41A6F"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LLB</w:t>
      </w:r>
      <w:r w:rsidRPr="000758C3">
        <w:rPr>
          <w:rStyle w:val="normaltextrun"/>
          <w:rFonts w:asciiTheme="majorHAnsi" w:eastAsiaTheme="majorEastAsia" w:hAnsiTheme="majorHAnsi" w:cs="Calibri"/>
          <w:sz w:val="22"/>
          <w:szCs w:val="22"/>
        </w:rPr>
        <w:t xml:space="preserve"> stands for Latin </w:t>
      </w:r>
      <w:proofErr w:type="spellStart"/>
      <w:r w:rsidRPr="000758C3">
        <w:rPr>
          <w:rStyle w:val="normaltextrun"/>
          <w:rFonts w:asciiTheme="majorHAnsi" w:eastAsiaTheme="majorEastAsia" w:hAnsiTheme="majorHAnsi" w:cs="Calibri"/>
          <w:sz w:val="22"/>
          <w:szCs w:val="22"/>
        </w:rPr>
        <w:t>Legum</w:t>
      </w:r>
      <w:proofErr w:type="spellEnd"/>
      <w:r w:rsidRPr="000758C3">
        <w:rPr>
          <w:rStyle w:val="normaltextrun"/>
          <w:rFonts w:asciiTheme="majorHAnsi" w:eastAsiaTheme="majorEastAsia" w:hAnsiTheme="majorHAnsi" w:cs="Calibri"/>
          <w:sz w:val="22"/>
          <w:szCs w:val="22"/>
        </w:rPr>
        <w:t xml:space="preserve"> Baccalaureus, meaning Bachelor of Laws, and is the qualification students receive after completing an undergraduate degree in law.</w:t>
      </w:r>
      <w:r w:rsidRPr="000758C3">
        <w:rPr>
          <w:rStyle w:val="eop"/>
          <w:rFonts w:asciiTheme="majorHAnsi" w:hAnsiTheme="majorHAnsi" w:cs="Calibri"/>
          <w:sz w:val="22"/>
          <w:szCs w:val="22"/>
        </w:rPr>
        <w:t> </w:t>
      </w:r>
    </w:p>
    <w:p w14:paraId="0C36EF5E"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7F8889A8" w14:textId="328990DD"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The </w:t>
      </w:r>
      <w:r w:rsidRPr="000758C3">
        <w:rPr>
          <w:rStyle w:val="normaltextrun"/>
          <w:rFonts w:asciiTheme="majorHAnsi" w:eastAsiaTheme="majorEastAsia" w:hAnsiTheme="majorHAnsi" w:cs="Calibri"/>
          <w:b/>
          <w:bCs/>
          <w:sz w:val="22"/>
          <w:szCs w:val="22"/>
        </w:rPr>
        <w:t>maintenance loan</w:t>
      </w:r>
      <w:r w:rsidRPr="000758C3">
        <w:rPr>
          <w:rStyle w:val="normaltextrun"/>
          <w:rFonts w:asciiTheme="majorHAnsi" w:eastAsiaTheme="majorEastAsia" w:hAnsiTheme="majorHAnsi" w:cs="Calibri"/>
          <w:sz w:val="22"/>
          <w:szCs w:val="22"/>
        </w:rPr>
        <w:t xml:space="preserve"> is a loan designed to contribute towards and in some cases cover student living costs like food, rent, and travel. A student’s household income dictates the amount of maintenance loan they receive. The amount a student receives also depends on whether they live away from home while studying and where they study.</w:t>
      </w:r>
      <w:r w:rsidRPr="000758C3">
        <w:rPr>
          <w:rStyle w:val="eop"/>
          <w:rFonts w:asciiTheme="majorHAnsi" w:hAnsiTheme="majorHAnsi" w:cs="Calibri"/>
          <w:sz w:val="22"/>
          <w:szCs w:val="22"/>
        </w:rPr>
        <w:t> </w:t>
      </w:r>
    </w:p>
    <w:p w14:paraId="62872C19"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415F0E3" w14:textId="76B3B5A9"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master’s degree</w:t>
      </w:r>
      <w:r w:rsidRPr="000758C3">
        <w:rPr>
          <w:rStyle w:val="normaltextrun"/>
          <w:rFonts w:asciiTheme="majorHAnsi" w:eastAsiaTheme="majorEastAsia" w:hAnsiTheme="majorHAnsi" w:cs="Calibri"/>
          <w:sz w:val="22"/>
          <w:szCs w:val="22"/>
        </w:rPr>
        <w:t xml:space="preserve"> is the qualification a student receives after completing a postgraduate degree. Students need to have graduated from their bachelor’s degree to complete a master’s degree. Master’s degrees last for one to two years.</w:t>
      </w:r>
      <w:r w:rsidRPr="000758C3">
        <w:rPr>
          <w:rStyle w:val="eop"/>
          <w:rFonts w:asciiTheme="majorHAnsi" w:hAnsiTheme="majorHAnsi" w:cs="Calibri"/>
          <w:sz w:val="22"/>
          <w:szCs w:val="22"/>
        </w:rPr>
        <w:t> </w:t>
      </w:r>
    </w:p>
    <w:p w14:paraId="674D1AE4"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48C6FBDF" w14:textId="140D7878"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mature student</w:t>
      </w:r>
      <w:r w:rsidRPr="000758C3">
        <w:rPr>
          <w:rStyle w:val="normaltextrun"/>
          <w:rFonts w:asciiTheme="majorHAnsi" w:eastAsiaTheme="majorEastAsia" w:hAnsiTheme="majorHAnsi" w:cs="Calibri"/>
          <w:sz w:val="22"/>
          <w:szCs w:val="22"/>
        </w:rPr>
        <w:t xml:space="preserve"> is a student who is over 21 when starting their course.</w:t>
      </w:r>
      <w:r w:rsidRPr="000758C3">
        <w:rPr>
          <w:rStyle w:val="eop"/>
          <w:rFonts w:asciiTheme="majorHAnsi" w:hAnsiTheme="majorHAnsi" w:cs="Calibri"/>
          <w:sz w:val="22"/>
          <w:szCs w:val="22"/>
        </w:rPr>
        <w:t> </w:t>
      </w:r>
    </w:p>
    <w:p w14:paraId="63D34CB0"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14B977D3" w14:textId="3C31E583"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personal statement</w:t>
      </w:r>
      <w:r w:rsidRPr="000758C3">
        <w:rPr>
          <w:rStyle w:val="normaltextrun"/>
          <w:rFonts w:asciiTheme="majorHAnsi" w:eastAsiaTheme="majorEastAsia" w:hAnsiTheme="majorHAnsi" w:cs="Calibri"/>
          <w:sz w:val="22"/>
          <w:szCs w:val="22"/>
        </w:rPr>
        <w:t xml:space="preserve"> is a key component of the UCAS application to study for a degree. It gives applicants the chance to explain why they are a strong candidate for the degrees they are applying for. </w:t>
      </w:r>
      <w:r w:rsidRPr="000758C3">
        <w:rPr>
          <w:rStyle w:val="eop"/>
          <w:rFonts w:asciiTheme="majorHAnsi" w:hAnsiTheme="majorHAnsi" w:cs="Calibri"/>
          <w:sz w:val="22"/>
          <w:szCs w:val="22"/>
        </w:rPr>
        <w:t> </w:t>
      </w:r>
    </w:p>
    <w:p w14:paraId="613EA9CE"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A369D04"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normaltextrun"/>
          <w:rFonts w:asciiTheme="majorHAnsi" w:eastAsiaTheme="majorEastAsia" w:hAnsiTheme="majorHAnsi" w:cs="Calibri"/>
          <w:b/>
          <w:bCs/>
          <w:sz w:val="22"/>
          <w:szCs w:val="22"/>
        </w:rPr>
        <w:t xml:space="preserve">Postgraduate </w:t>
      </w:r>
      <w:r w:rsidRPr="000758C3">
        <w:rPr>
          <w:rStyle w:val="normaltextrun"/>
          <w:rFonts w:asciiTheme="majorHAnsi" w:eastAsiaTheme="majorEastAsia" w:hAnsiTheme="majorHAnsi" w:cs="Calibri"/>
          <w:sz w:val="22"/>
          <w:szCs w:val="22"/>
        </w:rPr>
        <w:t>is a student who continues studying after completing their first degree. </w:t>
      </w:r>
      <w:r w:rsidRPr="000758C3">
        <w:rPr>
          <w:rStyle w:val="eop"/>
          <w:rFonts w:asciiTheme="majorHAnsi" w:hAnsiTheme="majorHAnsi" w:cs="Calibri"/>
          <w:sz w:val="22"/>
          <w:szCs w:val="22"/>
        </w:rPr>
        <w:t> </w:t>
      </w:r>
    </w:p>
    <w:p w14:paraId="0C32613F" w14:textId="3C052E29"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lastRenderedPageBreak/>
        <w:t xml:space="preserve">A </w:t>
      </w:r>
      <w:r w:rsidRPr="000758C3">
        <w:rPr>
          <w:rStyle w:val="normaltextrun"/>
          <w:rFonts w:asciiTheme="majorHAnsi" w:eastAsiaTheme="majorEastAsia" w:hAnsiTheme="majorHAnsi" w:cs="Calibri"/>
          <w:b/>
          <w:bCs/>
          <w:sz w:val="22"/>
          <w:szCs w:val="22"/>
        </w:rPr>
        <w:t>Russell Group</w:t>
      </w:r>
      <w:r w:rsidRPr="000758C3">
        <w:rPr>
          <w:rStyle w:val="normaltextrun"/>
          <w:rFonts w:asciiTheme="majorHAnsi" w:eastAsiaTheme="majorEastAsia" w:hAnsiTheme="majorHAnsi" w:cs="Calibri"/>
          <w:sz w:val="22"/>
          <w:szCs w:val="22"/>
        </w:rPr>
        <w:t xml:space="preserve"> university is one of 24 universities with a shared focus on research and a reputation for academic achievement. </w:t>
      </w:r>
      <w:r w:rsidRPr="000758C3">
        <w:rPr>
          <w:rStyle w:val="eop"/>
          <w:rFonts w:asciiTheme="majorHAnsi" w:hAnsiTheme="majorHAnsi" w:cs="Calibri"/>
          <w:sz w:val="22"/>
          <w:szCs w:val="22"/>
        </w:rPr>
        <w:t> </w:t>
      </w:r>
    </w:p>
    <w:p w14:paraId="2DC8AB12"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03C9699C" w14:textId="065792A8"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scholarship</w:t>
      </w:r>
      <w:r w:rsidRPr="000758C3">
        <w:rPr>
          <w:rStyle w:val="normaltextrun"/>
          <w:rFonts w:asciiTheme="majorHAnsi" w:eastAsiaTheme="majorEastAsia" w:hAnsiTheme="majorHAnsi" w:cs="Calibri"/>
          <w:sz w:val="22"/>
          <w:szCs w:val="22"/>
        </w:rPr>
        <w:t xml:space="preserve"> is a merit-based form of non-repayable financial support, usually awarded to students who are exemplary in their discipline. </w:t>
      </w:r>
      <w:r w:rsidRPr="000758C3">
        <w:rPr>
          <w:rStyle w:val="eop"/>
          <w:rFonts w:asciiTheme="majorHAnsi" w:hAnsiTheme="majorHAnsi" w:cs="Calibri"/>
          <w:sz w:val="22"/>
          <w:szCs w:val="22"/>
        </w:rPr>
        <w:t> </w:t>
      </w:r>
    </w:p>
    <w:p w14:paraId="68A1E496"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0E5303B" w14:textId="25CB391E"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semester</w:t>
      </w:r>
      <w:r w:rsidRPr="000758C3">
        <w:rPr>
          <w:rStyle w:val="normaltextrun"/>
          <w:rFonts w:asciiTheme="majorHAnsi" w:eastAsiaTheme="majorEastAsia" w:hAnsiTheme="majorHAnsi" w:cs="Calibri"/>
          <w:sz w:val="22"/>
          <w:szCs w:val="22"/>
        </w:rPr>
        <w:t xml:space="preserve"> refers to a term at university. </w:t>
      </w:r>
      <w:r w:rsidRPr="000758C3">
        <w:rPr>
          <w:rStyle w:val="eop"/>
          <w:rFonts w:asciiTheme="majorHAnsi" w:hAnsiTheme="majorHAnsi" w:cs="Calibri"/>
          <w:sz w:val="22"/>
          <w:szCs w:val="22"/>
        </w:rPr>
        <w:t> </w:t>
      </w:r>
    </w:p>
    <w:p w14:paraId="005AF996"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537827DE" w14:textId="3D25A01F"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seminar</w:t>
      </w:r>
      <w:r w:rsidRPr="000758C3">
        <w:rPr>
          <w:rStyle w:val="normaltextrun"/>
          <w:rFonts w:asciiTheme="majorHAnsi" w:eastAsiaTheme="majorEastAsia" w:hAnsiTheme="majorHAnsi" w:cs="Calibri"/>
          <w:sz w:val="22"/>
          <w:szCs w:val="22"/>
        </w:rPr>
        <w:t xml:space="preserve"> is a university or college class in which a member of staff leads a discussion between students. They often last for around two hours and give students the chance to discuss a topic in greater depth. They can also be referred to as tutorials.</w:t>
      </w:r>
      <w:r w:rsidRPr="000758C3">
        <w:rPr>
          <w:rStyle w:val="eop"/>
          <w:rFonts w:asciiTheme="majorHAnsi" w:hAnsiTheme="majorHAnsi" w:cs="Calibri"/>
          <w:sz w:val="22"/>
          <w:szCs w:val="22"/>
        </w:rPr>
        <w:t> </w:t>
      </w:r>
    </w:p>
    <w:p w14:paraId="677C9AAE"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439E40B9" w14:textId="3246F023"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society</w:t>
      </w:r>
      <w:r w:rsidRPr="000758C3">
        <w:rPr>
          <w:rStyle w:val="normaltextrun"/>
          <w:rFonts w:asciiTheme="majorHAnsi" w:eastAsiaTheme="majorEastAsia" w:hAnsiTheme="majorHAnsi" w:cs="Calibri"/>
          <w:sz w:val="22"/>
          <w:szCs w:val="22"/>
        </w:rPr>
        <w:t xml:space="preserve"> is a student organisation who arrange events and activities around a shared interest. They are supported by a Students’ Union and can be built around a range of interests, such as gaming, drama, or politics.</w:t>
      </w:r>
      <w:r w:rsidRPr="000758C3">
        <w:rPr>
          <w:rStyle w:val="eop"/>
          <w:rFonts w:asciiTheme="majorHAnsi" w:hAnsiTheme="majorHAnsi" w:cs="Calibri"/>
          <w:sz w:val="22"/>
          <w:szCs w:val="22"/>
        </w:rPr>
        <w:t> </w:t>
      </w:r>
    </w:p>
    <w:p w14:paraId="667729E8"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925C137" w14:textId="048F9628"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Student finance</w:t>
      </w:r>
      <w:r w:rsidRPr="000758C3">
        <w:rPr>
          <w:rStyle w:val="normaltextrun"/>
          <w:rFonts w:asciiTheme="majorHAnsi" w:eastAsiaTheme="majorEastAsia" w:hAnsiTheme="majorHAnsi" w:cs="Calibri"/>
          <w:sz w:val="22"/>
          <w:szCs w:val="22"/>
        </w:rPr>
        <w:t xml:space="preserve"> refers to the money students borrow to support the cost of studying at university as well as tuition fees. </w:t>
      </w:r>
      <w:r w:rsidRPr="000758C3">
        <w:rPr>
          <w:rStyle w:val="eop"/>
          <w:rFonts w:asciiTheme="majorHAnsi" w:hAnsiTheme="majorHAnsi" w:cs="Calibri"/>
          <w:sz w:val="22"/>
          <w:szCs w:val="22"/>
        </w:rPr>
        <w:t> </w:t>
      </w:r>
    </w:p>
    <w:p w14:paraId="13802D16"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87223D0" w14:textId="2A11AD82"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student loan</w:t>
      </w:r>
      <w:r w:rsidRPr="000758C3">
        <w:rPr>
          <w:rStyle w:val="normaltextrun"/>
          <w:rFonts w:asciiTheme="majorHAnsi" w:eastAsiaTheme="majorEastAsia" w:hAnsiTheme="majorHAnsi" w:cs="Calibri"/>
          <w:sz w:val="22"/>
          <w:szCs w:val="22"/>
        </w:rPr>
        <w:t xml:space="preserve"> is a loan available to students to support with the cost of studying at university. It is comprised of the tuition fee loan which covers tuition fees and a maintenance loan designed to cover living expenses. </w:t>
      </w:r>
      <w:r w:rsidRPr="000758C3">
        <w:rPr>
          <w:rStyle w:val="normaltextrun"/>
          <w:rFonts w:asciiTheme="majorHAnsi" w:eastAsiaTheme="majorEastAsia" w:hAnsiTheme="majorHAnsi" w:cs="Calibri"/>
          <w:sz w:val="22"/>
          <w:szCs w:val="22"/>
        </w:rPr>
        <w:t>Tuition</w:t>
      </w:r>
      <w:r w:rsidRPr="000758C3">
        <w:rPr>
          <w:rStyle w:val="normaltextrun"/>
          <w:rFonts w:asciiTheme="majorHAnsi" w:eastAsiaTheme="majorEastAsia" w:hAnsiTheme="majorHAnsi" w:cs="Calibri"/>
          <w:sz w:val="22"/>
          <w:szCs w:val="22"/>
        </w:rPr>
        <w:t xml:space="preserve"> fee loans are paid directly from the loan company to the university. </w:t>
      </w:r>
      <w:r w:rsidRPr="000758C3">
        <w:rPr>
          <w:rStyle w:val="eop"/>
          <w:rFonts w:asciiTheme="majorHAnsi" w:hAnsiTheme="majorHAnsi" w:cs="Calibri"/>
          <w:sz w:val="22"/>
          <w:szCs w:val="22"/>
        </w:rPr>
        <w:t> </w:t>
      </w:r>
    </w:p>
    <w:p w14:paraId="033A126C"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DD4AB51" w14:textId="65E16391"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sz w:val="22"/>
          <w:szCs w:val="22"/>
        </w:rPr>
        <w:t xml:space="preserve">A </w:t>
      </w:r>
      <w:r w:rsidRPr="000758C3">
        <w:rPr>
          <w:rStyle w:val="normaltextrun"/>
          <w:rFonts w:asciiTheme="majorHAnsi" w:eastAsiaTheme="majorEastAsia" w:hAnsiTheme="majorHAnsi" w:cs="Calibri"/>
          <w:b/>
          <w:bCs/>
          <w:sz w:val="22"/>
          <w:szCs w:val="22"/>
        </w:rPr>
        <w:t>Students' Union</w:t>
      </w:r>
      <w:r w:rsidRPr="000758C3">
        <w:rPr>
          <w:rStyle w:val="normaltextrun"/>
          <w:rFonts w:asciiTheme="majorHAnsi" w:eastAsiaTheme="majorEastAsia" w:hAnsiTheme="majorHAnsi" w:cs="Calibri"/>
          <w:sz w:val="22"/>
          <w:szCs w:val="22"/>
        </w:rPr>
        <w:t xml:space="preserve"> (or ‘SU’ for short) is a body representing the interests of students at a university. They are at the heart the social activities and events on campus. People also use the term ‘Students' Union’ to refer to the physical building where the Students' Union is located.</w:t>
      </w:r>
      <w:r w:rsidRPr="000758C3">
        <w:rPr>
          <w:rStyle w:val="eop"/>
          <w:rFonts w:asciiTheme="majorHAnsi" w:hAnsiTheme="majorHAnsi" w:cs="Calibri"/>
          <w:sz w:val="22"/>
          <w:szCs w:val="22"/>
        </w:rPr>
        <w:t> </w:t>
      </w:r>
    </w:p>
    <w:p w14:paraId="12B5A392"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22BD2A94" w14:textId="5D50E61D"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Tuition fees</w:t>
      </w:r>
      <w:r w:rsidRPr="000758C3">
        <w:rPr>
          <w:rStyle w:val="normaltextrun"/>
          <w:rFonts w:asciiTheme="majorHAnsi" w:eastAsiaTheme="majorEastAsia" w:hAnsiTheme="majorHAnsi" w:cs="Calibri"/>
          <w:sz w:val="22"/>
          <w:szCs w:val="22"/>
        </w:rPr>
        <w:t xml:space="preserve"> are the fees charged by a university per year of academic study. </w:t>
      </w:r>
      <w:r w:rsidRPr="000758C3">
        <w:rPr>
          <w:rStyle w:val="eop"/>
          <w:rFonts w:asciiTheme="majorHAnsi" w:hAnsiTheme="majorHAnsi" w:cs="Calibri"/>
          <w:sz w:val="22"/>
          <w:szCs w:val="22"/>
        </w:rPr>
        <w:t> </w:t>
      </w:r>
    </w:p>
    <w:p w14:paraId="0398CAB8"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4E1735AC" w14:textId="17A5A2B4"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UCAS</w:t>
      </w:r>
      <w:r w:rsidRPr="000758C3">
        <w:rPr>
          <w:rStyle w:val="normaltextrun"/>
          <w:rFonts w:asciiTheme="majorHAnsi" w:eastAsiaTheme="majorEastAsia" w:hAnsiTheme="majorHAnsi" w:cs="Calibri"/>
          <w:sz w:val="22"/>
          <w:szCs w:val="22"/>
        </w:rPr>
        <w:t xml:space="preserve"> is the platform all students use to apply for UK university and college courses.</w:t>
      </w:r>
      <w:r w:rsidRPr="000758C3">
        <w:rPr>
          <w:rStyle w:val="eop"/>
          <w:rFonts w:asciiTheme="majorHAnsi" w:hAnsiTheme="majorHAnsi" w:cs="Calibri"/>
          <w:sz w:val="22"/>
          <w:szCs w:val="22"/>
        </w:rPr>
        <w:t> </w:t>
      </w:r>
    </w:p>
    <w:p w14:paraId="485F8D29"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6B72F361" w14:textId="14B73976" w:rsidR="000758C3" w:rsidRDefault="000758C3" w:rsidP="000758C3">
      <w:pPr>
        <w:pStyle w:val="paragraph"/>
        <w:spacing w:before="0" w:beforeAutospacing="0" w:after="0" w:afterAutospacing="0"/>
        <w:textAlignment w:val="baseline"/>
        <w:rPr>
          <w:rStyle w:val="eop"/>
          <w:rFonts w:asciiTheme="majorHAnsi" w:hAnsiTheme="majorHAnsi" w:cs="Calibri"/>
          <w:sz w:val="22"/>
          <w:szCs w:val="22"/>
        </w:rPr>
      </w:pPr>
      <w:r w:rsidRPr="000758C3">
        <w:rPr>
          <w:rStyle w:val="normaltextrun"/>
          <w:rFonts w:asciiTheme="majorHAnsi" w:eastAsiaTheme="majorEastAsia" w:hAnsiTheme="majorHAnsi" w:cs="Calibri"/>
          <w:b/>
          <w:bCs/>
          <w:sz w:val="22"/>
          <w:szCs w:val="22"/>
        </w:rPr>
        <w:t xml:space="preserve">UCAS Tariff Points </w:t>
      </w:r>
      <w:r w:rsidRPr="000758C3">
        <w:rPr>
          <w:rStyle w:val="normaltextrun"/>
          <w:rFonts w:asciiTheme="majorHAnsi" w:eastAsiaTheme="majorEastAsia" w:hAnsiTheme="majorHAnsi" w:cs="Calibri"/>
          <w:sz w:val="22"/>
          <w:szCs w:val="22"/>
        </w:rPr>
        <w:t>are</w:t>
      </w:r>
      <w:r w:rsidRPr="000758C3">
        <w:rPr>
          <w:rStyle w:val="normaltextrun"/>
          <w:rFonts w:ascii="Arial" w:eastAsiaTheme="majorEastAsia" w:hAnsi="Arial" w:cs="Arial"/>
          <w:sz w:val="22"/>
          <w:szCs w:val="22"/>
        </w:rPr>
        <w:t> </w:t>
      </w:r>
      <w:r w:rsidRPr="000758C3">
        <w:rPr>
          <w:rStyle w:val="normaltextrun"/>
          <w:rFonts w:asciiTheme="majorHAnsi" w:eastAsiaTheme="majorEastAsia" w:hAnsiTheme="majorHAnsi" w:cs="Calibri"/>
          <w:sz w:val="22"/>
          <w:szCs w:val="22"/>
        </w:rPr>
        <w:t xml:space="preserve">a way of measuring the relative value of all post-16 qualifications in the UK. The UCAS Tariff assigns a numerical score to the possible grades that can be achieved in each type of qualification, </w:t>
      </w:r>
      <w:proofErr w:type="gramStart"/>
      <w:r w:rsidRPr="000758C3">
        <w:rPr>
          <w:rStyle w:val="normaltextrun"/>
          <w:rFonts w:asciiTheme="majorHAnsi" w:eastAsiaTheme="majorEastAsia" w:hAnsiTheme="majorHAnsi" w:cs="Calibri"/>
          <w:sz w:val="22"/>
          <w:szCs w:val="22"/>
        </w:rPr>
        <w:t>e.g.</w:t>
      </w:r>
      <w:proofErr w:type="gramEnd"/>
      <w:r w:rsidRPr="000758C3">
        <w:rPr>
          <w:rStyle w:val="normaltextrun"/>
          <w:rFonts w:asciiTheme="majorHAnsi" w:eastAsiaTheme="majorEastAsia" w:hAnsiTheme="majorHAnsi" w:cs="Calibri"/>
          <w:sz w:val="22"/>
          <w:szCs w:val="22"/>
        </w:rPr>
        <w:t xml:space="preserve"> an A is A Level is 48 points, and an A in a Scottish Higher is 33</w:t>
      </w:r>
      <w:r w:rsidRPr="000758C3">
        <w:rPr>
          <w:rStyle w:val="normaltextrun"/>
          <w:rFonts w:asciiTheme="majorHAnsi" w:eastAsiaTheme="majorEastAsia" w:hAnsiTheme="majorHAnsi" w:cs="Calibri"/>
          <w:color w:val="D13438"/>
          <w:sz w:val="22"/>
          <w:szCs w:val="22"/>
          <w:u w:val="single"/>
        </w:rPr>
        <w:t xml:space="preserve">. </w:t>
      </w:r>
      <w:r w:rsidRPr="000758C3">
        <w:rPr>
          <w:rStyle w:val="normaltextrun"/>
          <w:rFonts w:asciiTheme="majorHAnsi" w:eastAsiaTheme="majorEastAsia" w:hAnsiTheme="majorHAnsi" w:cs="Calibri"/>
          <w:sz w:val="22"/>
          <w:szCs w:val="22"/>
        </w:rPr>
        <w:t>Although Scottish qualifications carry UCAS points, Scottish universities tend to look more at grades and not points.</w:t>
      </w:r>
      <w:r w:rsidRPr="000758C3">
        <w:rPr>
          <w:rStyle w:val="eop"/>
          <w:rFonts w:asciiTheme="majorHAnsi" w:hAnsiTheme="majorHAnsi" w:cs="Calibri"/>
          <w:sz w:val="22"/>
          <w:szCs w:val="22"/>
        </w:rPr>
        <w:t> </w:t>
      </w:r>
    </w:p>
    <w:p w14:paraId="542415FE"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p>
    <w:p w14:paraId="33EFBFA8" w14:textId="77777777" w:rsidR="000758C3" w:rsidRPr="000758C3" w:rsidRDefault="000758C3" w:rsidP="000758C3">
      <w:pPr>
        <w:pStyle w:val="paragraph"/>
        <w:spacing w:before="0" w:beforeAutospacing="0" w:after="0" w:afterAutospacing="0"/>
        <w:textAlignment w:val="baseline"/>
        <w:rPr>
          <w:rFonts w:asciiTheme="majorHAnsi" w:hAnsiTheme="majorHAnsi" w:cs="Segoe UI"/>
          <w:sz w:val="18"/>
          <w:szCs w:val="18"/>
        </w:rPr>
      </w:pPr>
      <w:r w:rsidRPr="000758C3">
        <w:rPr>
          <w:rStyle w:val="normaltextrun"/>
          <w:rFonts w:asciiTheme="majorHAnsi" w:eastAsiaTheme="majorEastAsia" w:hAnsiTheme="majorHAnsi" w:cs="Calibri"/>
          <w:sz w:val="22"/>
          <w:szCs w:val="22"/>
        </w:rPr>
        <w:t xml:space="preserve">An </w:t>
      </w:r>
      <w:r w:rsidRPr="000758C3">
        <w:rPr>
          <w:rStyle w:val="normaltextrun"/>
          <w:rFonts w:asciiTheme="majorHAnsi" w:eastAsiaTheme="majorEastAsia" w:hAnsiTheme="majorHAnsi" w:cs="Calibri"/>
          <w:b/>
          <w:bCs/>
          <w:sz w:val="22"/>
          <w:szCs w:val="22"/>
        </w:rPr>
        <w:t>unconditional offer</w:t>
      </w:r>
      <w:r w:rsidRPr="000758C3">
        <w:rPr>
          <w:rStyle w:val="normaltextrun"/>
          <w:rFonts w:asciiTheme="majorHAnsi" w:eastAsiaTheme="majorEastAsia" w:hAnsiTheme="majorHAnsi" w:cs="Calibri"/>
          <w:sz w:val="22"/>
          <w:szCs w:val="22"/>
        </w:rPr>
        <w:t xml:space="preserve"> means a student will be accepted on a university or college course regardless of pending exam results or grades.</w:t>
      </w:r>
    </w:p>
    <w:p w14:paraId="3BF3CDE6" w14:textId="77777777" w:rsidR="000758C3" w:rsidRPr="000758C3" w:rsidRDefault="000758C3" w:rsidP="000758C3">
      <w:pPr>
        <w:pStyle w:val="Head1"/>
      </w:pPr>
    </w:p>
    <w:p w14:paraId="27C6E7B7" w14:textId="6D4B65E6" w:rsidR="006927E0" w:rsidRDefault="006927E0" w:rsidP="006927E0">
      <w:pPr>
        <w:pStyle w:val="Head1"/>
      </w:pPr>
    </w:p>
    <w:p w14:paraId="2D293178" w14:textId="205B9E64" w:rsidR="003E78E7" w:rsidRDefault="003E78E7" w:rsidP="006F1B72"/>
    <w:p w14:paraId="75D814FA" w14:textId="7DA9B2ED" w:rsidR="003E78E7" w:rsidRDefault="003E78E7" w:rsidP="006F1B72"/>
    <w:p w14:paraId="724234E4" w14:textId="70F40656" w:rsidR="003E78E7" w:rsidRDefault="003E78E7" w:rsidP="006F1B72"/>
    <w:p w14:paraId="69FCB8FF" w14:textId="1198A492" w:rsidR="003E78E7" w:rsidRDefault="003E5728" w:rsidP="003E5728">
      <w:pPr>
        <w:tabs>
          <w:tab w:val="left" w:pos="7935"/>
        </w:tabs>
      </w:pPr>
      <w:r>
        <w:tab/>
      </w:r>
    </w:p>
    <w:p w14:paraId="255E95D6" w14:textId="62D06CF5" w:rsidR="003E78E7" w:rsidRPr="006F1B72" w:rsidRDefault="003E78E7" w:rsidP="006F1B72"/>
    <w:sectPr w:rsidR="003E78E7" w:rsidRPr="006F1B72" w:rsidSect="003E5728">
      <w:headerReference w:type="default" r:id="rId10"/>
      <w:footerReference w:type="default" r:id="rId11"/>
      <w:headerReference w:type="first" r:id="rId12"/>
      <w:pgSz w:w="11906" w:h="16838"/>
      <w:pgMar w:top="1724" w:right="1077" w:bottom="1077" w:left="107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D11F" w14:textId="77777777" w:rsidR="00965679" w:rsidRDefault="00965679" w:rsidP="00E937CA">
      <w:pPr>
        <w:spacing w:before="0" w:after="0" w:line="240" w:lineRule="auto"/>
      </w:pPr>
      <w:r>
        <w:separator/>
      </w:r>
    </w:p>
  </w:endnote>
  <w:endnote w:type="continuationSeparator" w:id="0">
    <w:p w14:paraId="2430990D" w14:textId="77777777" w:rsidR="00965679" w:rsidRDefault="00965679" w:rsidP="00E93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Light">
    <w:altName w:val="Calibri"/>
    <w:charset w:val="00"/>
    <w:family w:val="auto"/>
    <w:pitch w:val="variable"/>
    <w:sig w:usb0="00000207" w:usb1="00000000"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35567"/>
      <w:docPartObj>
        <w:docPartGallery w:val="Page Numbers (Bottom of Page)"/>
        <w:docPartUnique/>
      </w:docPartObj>
    </w:sdtPr>
    <w:sdtEndPr>
      <w:rPr>
        <w:noProof/>
      </w:rPr>
    </w:sdtEndPr>
    <w:sdtContent>
      <w:p w14:paraId="04A2DEFB" w14:textId="18A6F660" w:rsidR="003E5728" w:rsidRDefault="00DD5FFB">
        <w:pPr>
          <w:pStyle w:val="Footer"/>
          <w:jc w:val="right"/>
        </w:pPr>
        <w:r>
          <w:rPr>
            <w:noProof/>
            <w:lang w:eastAsia="en-GB"/>
          </w:rPr>
          <mc:AlternateContent>
            <mc:Choice Requires="wps">
              <w:drawing>
                <wp:anchor distT="45720" distB="45720" distL="114300" distR="114300" simplePos="0" relativeHeight="251661312" behindDoc="1" locked="0" layoutInCell="1" allowOverlap="1" wp14:anchorId="708714EB" wp14:editId="3933569C">
                  <wp:simplePos x="0" y="0"/>
                  <wp:positionH relativeFrom="margin">
                    <wp:posOffset>-609600</wp:posOffset>
                  </wp:positionH>
                  <wp:positionV relativeFrom="bottomMargin">
                    <wp:posOffset>50800</wp:posOffset>
                  </wp:positionV>
                  <wp:extent cx="5924550" cy="590550"/>
                  <wp:effectExtent l="0" t="0" r="0" b="0"/>
                  <wp:wrapTight wrapText="bothSides">
                    <wp:wrapPolygon edited="0">
                      <wp:start x="0" y="0"/>
                      <wp:lineTo x="0" y="20903"/>
                      <wp:lineTo x="21531" y="20903"/>
                      <wp:lineTo x="215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noFill/>
                            <a:miter lim="800000"/>
                            <a:headEnd/>
                            <a:tailEnd/>
                          </a:ln>
                        </wps:spPr>
                        <wps:txb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08714EB" id="_x0000_t202" coordsize="21600,21600" o:spt="202" path="m,l,21600r21600,l21600,xe">
                  <v:stroke joinstyle="miter"/>
                  <v:path gradientshapeok="t" o:connecttype="rect"/>
                </v:shapetype>
                <v:shape id="Text Box 2" o:spid="_x0000_s1026" type="#_x0000_t202" style="position:absolute;left:0;text-align:left;margin-left:-48pt;margin-top:4pt;width:466.5pt;height:46.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" stroked="f">
                  <v:textbox>
                    <w:txbxContent>
                      <w:p w14:paraId="0221BCFC" w14:textId="77777777" w:rsidR="00DD5FFB" w:rsidRDefault="00DD5FFB" w:rsidP="00DD5FFB">
                        <w:pPr>
                          <w:spacing w:before="0" w:after="0"/>
                          <w:rPr>
                            <w:sz w:val="16"/>
                            <w:szCs w:val="18"/>
                          </w:rPr>
                        </w:pPr>
                        <w:r w:rsidRPr="007727FC">
                          <w:rPr>
                            <w:sz w:val="16"/>
                            <w:szCs w:val="18"/>
                          </w:rPr>
                          <w:t>The Brilliant Club is a registered charity in England and Wales (no. 1147771) and Scotland (no. SC048774).</w:t>
                        </w:r>
                      </w:p>
                      <w:p w14:paraId="635BB4C9" w14:textId="77777777" w:rsidR="00DD5FFB" w:rsidRDefault="00DD5FFB" w:rsidP="00DD5FFB">
                        <w:pPr>
                          <w:spacing w:before="0" w:after="0"/>
                          <w:rPr>
                            <w:sz w:val="16"/>
                            <w:szCs w:val="18"/>
                          </w:rPr>
                        </w:pPr>
                        <w:r w:rsidRPr="007727FC">
                          <w:rPr>
                            <w:sz w:val="16"/>
                            <w:szCs w:val="18"/>
                          </w:rPr>
                          <w:t>The Brilliant Club is a registered company limited by guarantee in England and Wales (no. 7986971).</w:t>
                        </w:r>
                      </w:p>
                      <w:p w14:paraId="5033676D" w14:textId="77777777" w:rsidR="00DD5FFB" w:rsidRPr="000318F9" w:rsidRDefault="00DD5FFB" w:rsidP="00DD5FFB">
                        <w:pPr>
                          <w:spacing w:before="0" w:after="0"/>
                          <w:rPr>
                            <w:sz w:val="16"/>
                            <w:szCs w:val="18"/>
                          </w:rPr>
                        </w:pPr>
                        <w:r w:rsidRPr="007727FC">
                          <w:rPr>
                            <w:sz w:val="16"/>
                            <w:szCs w:val="18"/>
                          </w:rPr>
                          <w:t>The Brilliant Club, 17th Floor, Millbank Tower, 21-24 Millbank, SW1P 4QP</w:t>
                        </w:r>
                      </w:p>
                    </w:txbxContent>
                  </v:textbox>
                  <w10:wrap type="tight" anchorx="margin" anchory="margin"/>
                </v:shape>
              </w:pict>
            </mc:Fallback>
          </mc:AlternateContent>
        </w:r>
      </w:p>
      <w:p w14:paraId="53655C20" w14:textId="5C8C97C3" w:rsidR="003E5728" w:rsidRPr="003727D3" w:rsidRDefault="003E5728">
        <w:pPr>
          <w:pStyle w:val="Footer"/>
          <w:jc w:val="right"/>
        </w:pPr>
        <w:r w:rsidRPr="003727D3">
          <w:rPr>
            <w:noProof/>
            <w:lang w:eastAsia="en-GB"/>
          </w:rPr>
          <mc:AlternateContent>
            <mc:Choice Requires="wps">
              <w:drawing>
                <wp:anchor distT="0" distB="0" distL="114300" distR="114300" simplePos="0" relativeHeight="251659264" behindDoc="0" locked="0" layoutInCell="1" allowOverlap="1" wp14:anchorId="108B2F46" wp14:editId="5C7434C8">
                  <wp:simplePos x="0" y="0"/>
                  <wp:positionH relativeFrom="page">
                    <wp:align>left</wp:align>
                  </wp:positionH>
                  <wp:positionV relativeFrom="margin">
                    <wp:posOffset>8862060</wp:posOffset>
                  </wp:positionV>
                  <wp:extent cx="756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56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B15E37" id="Straight Connector 1"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margin;mso-width-percent:0;mso-width-relative:margin" from="0,697.8pt" to="595.3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" strokecolor="#463278 [3204]" strokeweight=".5pt">
                  <v:stroke joinstyle="miter"/>
                  <w10:wrap anchorx="page" anchory="margin"/>
                </v:line>
              </w:pict>
            </mc:Fallback>
          </mc:AlternateContent>
        </w:r>
        <w:r w:rsidRPr="003727D3">
          <w:fldChar w:fldCharType="begin"/>
        </w:r>
        <w:r w:rsidRPr="003727D3">
          <w:instrText xml:space="preserve"> PAGE   \* MERGEFORMAT </w:instrText>
        </w:r>
        <w:r w:rsidRPr="003727D3">
          <w:fldChar w:fldCharType="separate"/>
        </w:r>
        <w:r w:rsidRPr="003727D3">
          <w:rPr>
            <w:noProof/>
          </w:rPr>
          <w:t>2</w:t>
        </w:r>
        <w:r w:rsidRPr="003727D3">
          <w:rPr>
            <w:noProof/>
          </w:rPr>
          <w:fldChar w:fldCharType="end"/>
        </w:r>
      </w:p>
    </w:sdtContent>
  </w:sdt>
  <w:p w14:paraId="59F1EEAA" w14:textId="33266C92" w:rsidR="00E937CA" w:rsidRDefault="00E93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1D53" w14:textId="77777777" w:rsidR="00965679" w:rsidRDefault="00965679" w:rsidP="00E937CA">
      <w:pPr>
        <w:spacing w:before="0" w:after="0" w:line="240" w:lineRule="auto"/>
      </w:pPr>
      <w:r>
        <w:separator/>
      </w:r>
    </w:p>
  </w:footnote>
  <w:footnote w:type="continuationSeparator" w:id="0">
    <w:p w14:paraId="74B327CE" w14:textId="77777777" w:rsidR="00965679" w:rsidRDefault="00965679" w:rsidP="00E93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85D4" w14:textId="6A8AC1F0" w:rsidR="00E937CA" w:rsidRDefault="00E937CA" w:rsidP="00E937C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E13" w14:textId="622597BF" w:rsidR="003E78E7" w:rsidRDefault="003E5728" w:rsidP="003E5728">
    <w:pPr>
      <w:pStyle w:val="Header"/>
      <w:jc w:val="right"/>
    </w:pPr>
    <w:r>
      <w:rPr>
        <w:noProof/>
        <w:lang w:eastAsia="en-GB"/>
      </w:rPr>
      <w:drawing>
        <wp:inline distT="0" distB="0" distL="0" distR="0" wp14:anchorId="573B7498" wp14:editId="01A03868">
          <wp:extent cx="648000" cy="6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0A75"/>
    <w:multiLevelType w:val="hybridMultilevel"/>
    <w:tmpl w:val="F86AB184"/>
    <w:lvl w:ilvl="0" w:tplc="6CF20AC2">
      <w:start w:val="1"/>
      <w:numFmt w:val="bullet"/>
      <w:pStyle w:val="Bullet2"/>
      <w:lvlText w:val=""/>
      <w:lvlJc w:val="left"/>
      <w:pPr>
        <w:ind w:left="1080" w:hanging="360"/>
      </w:pPr>
      <w:rPr>
        <w:rFonts w:ascii="Wingdings 2" w:hAnsi="Wingdings 2" w:hint="default"/>
        <w:color w:val="463278" w:themeColor="accent1"/>
        <w:sz w:val="18"/>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272E1"/>
    <w:multiLevelType w:val="hybridMultilevel"/>
    <w:tmpl w:val="D9307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F52E19"/>
    <w:multiLevelType w:val="hybridMultilevel"/>
    <w:tmpl w:val="3D5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15414"/>
    <w:multiLevelType w:val="hybridMultilevel"/>
    <w:tmpl w:val="604492C0"/>
    <w:lvl w:ilvl="0" w:tplc="703E52B0">
      <w:start w:val="1"/>
      <w:numFmt w:val="bullet"/>
      <w:pStyle w:val="Bullet1"/>
      <w:lvlText w:val=""/>
      <w:lvlJc w:val="left"/>
      <w:pPr>
        <w:ind w:left="720" w:hanging="360"/>
      </w:pPr>
      <w:rPr>
        <w:rFonts w:ascii="Symbol" w:hAnsi="Symbol" w:hint="default"/>
        <w:color w:val="463278"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135C"/>
    <w:multiLevelType w:val="hybridMultilevel"/>
    <w:tmpl w:val="ADE00C26"/>
    <w:lvl w:ilvl="0" w:tplc="998E5134">
      <w:start w:val="1"/>
      <w:numFmt w:val="bullet"/>
      <w:pStyle w:val="Bullet3"/>
      <w:lvlText w:val="-"/>
      <w:lvlJc w:val="left"/>
      <w:pPr>
        <w:ind w:left="1627" w:hanging="360"/>
      </w:pPr>
      <w:rPr>
        <w:rFonts w:ascii="Gilroy Light" w:hAnsi="Gilroy Light" w:hint="default"/>
        <w:color w:val="463278" w:themeColor="accent1"/>
        <w:sz w:val="22"/>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num w:numId="1" w16cid:durableId="980620033">
    <w:abstractNumId w:val="2"/>
  </w:num>
  <w:num w:numId="2" w16cid:durableId="691108739">
    <w:abstractNumId w:val="1"/>
  </w:num>
  <w:num w:numId="3" w16cid:durableId="427389405">
    <w:abstractNumId w:val="3"/>
  </w:num>
  <w:num w:numId="4" w16cid:durableId="614752504">
    <w:abstractNumId w:val="0"/>
  </w:num>
  <w:num w:numId="5" w16cid:durableId="907153815">
    <w:abstractNumId w:val="4"/>
  </w:num>
  <w:num w:numId="6" w16cid:durableId="16054542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22"/>
    <w:rsid w:val="000758C3"/>
    <w:rsid w:val="000802F0"/>
    <w:rsid w:val="00084022"/>
    <w:rsid w:val="000A3653"/>
    <w:rsid w:val="000D196A"/>
    <w:rsid w:val="00134463"/>
    <w:rsid w:val="0013694A"/>
    <w:rsid w:val="001A352B"/>
    <w:rsid w:val="001D24C0"/>
    <w:rsid w:val="00203A52"/>
    <w:rsid w:val="00221ADC"/>
    <w:rsid w:val="00257B38"/>
    <w:rsid w:val="00285020"/>
    <w:rsid w:val="002A2EEA"/>
    <w:rsid w:val="002A7509"/>
    <w:rsid w:val="002C43ED"/>
    <w:rsid w:val="00303499"/>
    <w:rsid w:val="00361C5F"/>
    <w:rsid w:val="003727D3"/>
    <w:rsid w:val="003740AD"/>
    <w:rsid w:val="00395B8A"/>
    <w:rsid w:val="003A6A9B"/>
    <w:rsid w:val="003C1496"/>
    <w:rsid w:val="003E5728"/>
    <w:rsid w:val="003E78E7"/>
    <w:rsid w:val="003F744E"/>
    <w:rsid w:val="0042608C"/>
    <w:rsid w:val="00504B58"/>
    <w:rsid w:val="006779ED"/>
    <w:rsid w:val="006927E0"/>
    <w:rsid w:val="006C6741"/>
    <w:rsid w:val="006F1B72"/>
    <w:rsid w:val="007440A5"/>
    <w:rsid w:val="00746FFF"/>
    <w:rsid w:val="007A6FE3"/>
    <w:rsid w:val="007E353E"/>
    <w:rsid w:val="00866EC7"/>
    <w:rsid w:val="0087046E"/>
    <w:rsid w:val="008B3DD0"/>
    <w:rsid w:val="008E13AC"/>
    <w:rsid w:val="009650D2"/>
    <w:rsid w:val="00965679"/>
    <w:rsid w:val="009B7396"/>
    <w:rsid w:val="009D317A"/>
    <w:rsid w:val="009F088E"/>
    <w:rsid w:val="00B90CE8"/>
    <w:rsid w:val="00C34707"/>
    <w:rsid w:val="00C92ABA"/>
    <w:rsid w:val="00C97DED"/>
    <w:rsid w:val="00CA4412"/>
    <w:rsid w:val="00D0664D"/>
    <w:rsid w:val="00D33DD2"/>
    <w:rsid w:val="00D51ED1"/>
    <w:rsid w:val="00D65AE8"/>
    <w:rsid w:val="00DB28E9"/>
    <w:rsid w:val="00DD476E"/>
    <w:rsid w:val="00DD5FFB"/>
    <w:rsid w:val="00E937CA"/>
    <w:rsid w:val="00F3312E"/>
    <w:rsid w:val="00F57835"/>
    <w:rsid w:val="00F64421"/>
    <w:rsid w:val="00F86EA5"/>
    <w:rsid w:val="00F93478"/>
    <w:rsid w:val="00F94C44"/>
    <w:rsid w:val="00FA17E4"/>
    <w:rsid w:val="00FA3F06"/>
    <w:rsid w:val="00FE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A6F2E"/>
  <w15:chartTrackingRefBased/>
  <w15:docId w15:val="{2F7FBF94-0404-42A0-9FA2-57B0EF7B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7E0"/>
    <w:pPr>
      <w:spacing w:before="160" w:line="276" w:lineRule="auto"/>
    </w:pPr>
    <w:rPr>
      <w:rFonts w:ascii="Century Gothic" w:hAnsi="Century Gothic"/>
    </w:rPr>
  </w:style>
  <w:style w:type="paragraph" w:styleId="Heading1">
    <w:name w:val="heading 1"/>
    <w:aliases w:val="Subheading 1"/>
    <w:basedOn w:val="Normal"/>
    <w:next w:val="Normal"/>
    <w:link w:val="Heading1Char"/>
    <w:uiPriority w:val="9"/>
    <w:qFormat/>
    <w:rsid w:val="000A365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A3F06"/>
    <w:pPr>
      <w:spacing w:after="0" w:line="240" w:lineRule="auto"/>
    </w:pPr>
  </w:style>
  <w:style w:type="character" w:customStyle="1" w:styleId="Heading1Char">
    <w:name w:val="Heading 1 Char"/>
    <w:aliases w:val="Subheading 1 Char"/>
    <w:basedOn w:val="DefaultParagraphFont"/>
    <w:link w:val="Heading1"/>
    <w:uiPriority w:val="9"/>
    <w:rsid w:val="000A3653"/>
    <w:rPr>
      <w:rFonts w:ascii="Century Gothic" w:eastAsiaTheme="majorEastAsia" w:hAnsi="Century Gothic" w:cstheme="majorBidi"/>
      <w:b/>
      <w:szCs w:val="32"/>
    </w:rPr>
  </w:style>
  <w:style w:type="paragraph" w:styleId="Title">
    <w:name w:val="Title"/>
    <w:basedOn w:val="Normal"/>
    <w:next w:val="Normal"/>
    <w:link w:val="TitleChar"/>
    <w:uiPriority w:val="10"/>
    <w:qFormat/>
    <w:rsid w:val="006927E0"/>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6927E0"/>
    <w:rPr>
      <w:rFonts w:ascii="Century Gothic" w:eastAsiaTheme="majorEastAsia" w:hAnsi="Century Gothic" w:cstheme="majorBidi"/>
      <w:b/>
      <w:spacing w:val="-10"/>
      <w:kern w:val="28"/>
      <w:sz w:val="36"/>
      <w:szCs w:val="56"/>
    </w:rPr>
  </w:style>
  <w:style w:type="table" w:styleId="TableGrid">
    <w:name w:val="Table Grid"/>
    <w:aliases w:val="TBC Table"/>
    <w:basedOn w:val="TableNormal"/>
    <w:uiPriority w:val="39"/>
    <w:rsid w:val="00DD476E"/>
    <w:pPr>
      <w:spacing w:before="100" w:beforeAutospacing="1" w:after="100" w:afterAutospacing="1" w:line="240" w:lineRule="auto"/>
    </w:pPr>
    <w:rPr>
      <w:rFonts w:ascii="Century Gothic" w:hAnsi="Century Gothic"/>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themeFill="background2" w:themeFillShade="F2"/>
      <w:vAlign w:val="center"/>
    </w:tcPr>
    <w:tblStylePr w:type="firstRow">
      <w:pPr>
        <w:jc w:val="left"/>
      </w:pPr>
      <w:rPr>
        <w:rFonts w:asciiTheme="minorHAnsi" w:hAnsiTheme="minorHAnsi"/>
        <w:color w:val="FFFFFF" w:themeColor="background2"/>
        <w:sz w:val="20"/>
      </w:rPr>
      <w:tblPr/>
      <w:tcPr>
        <w:shd w:val="clear" w:color="auto" w:fill="463278"/>
      </w:tcPr>
    </w:tblStylePr>
    <w:tblStylePr w:type="firstCol">
      <w:rPr>
        <w:rFonts w:asciiTheme="minorHAnsi" w:hAnsiTheme="minorHAnsi"/>
        <w:color w:val="FFFFFF" w:themeColor="background2"/>
        <w:sz w:val="20"/>
      </w:rPr>
      <w:tblPr/>
      <w:tcPr>
        <w:shd w:val="clear" w:color="auto" w:fill="F53764" w:themeFill="accent2"/>
      </w:tcPr>
    </w:tblStylePr>
  </w:style>
  <w:style w:type="table" w:styleId="PlainTable4">
    <w:name w:val="Plain Table 4"/>
    <w:basedOn w:val="TableNormal"/>
    <w:uiPriority w:val="44"/>
    <w:rsid w:val="006C6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0000" w:themeFill="background1" w:themeFillShade="F2"/>
      </w:tcPr>
    </w:tblStylePr>
    <w:tblStylePr w:type="band1Horz">
      <w:tblPr/>
      <w:tcPr>
        <w:shd w:val="clear" w:color="auto" w:fill="000000" w:themeFill="background1" w:themeFillShade="F2"/>
      </w:tcPr>
    </w:tblStylePr>
  </w:style>
  <w:style w:type="table" w:styleId="GridTable4-Accent1">
    <w:name w:val="Grid Table 4 Accent 1"/>
    <w:basedOn w:val="TableNormal"/>
    <w:uiPriority w:val="49"/>
    <w:rsid w:val="006C6741"/>
    <w:pPr>
      <w:spacing w:after="0" w:line="240" w:lineRule="auto"/>
    </w:pPr>
    <w:tblPr>
      <w:tblStyleRowBandSize w:val="1"/>
      <w:tblStyleColBandSize w:val="1"/>
      <w:tblBorders>
        <w:top w:val="single" w:sz="4" w:space="0" w:color="866FC3" w:themeColor="accent1" w:themeTint="99"/>
        <w:left w:val="single" w:sz="4" w:space="0" w:color="866FC3" w:themeColor="accent1" w:themeTint="99"/>
        <w:bottom w:val="single" w:sz="4" w:space="0" w:color="866FC3" w:themeColor="accent1" w:themeTint="99"/>
        <w:right w:val="single" w:sz="4" w:space="0" w:color="866FC3" w:themeColor="accent1" w:themeTint="99"/>
        <w:insideH w:val="single" w:sz="4" w:space="0" w:color="866FC3" w:themeColor="accent1" w:themeTint="99"/>
        <w:insideV w:val="single" w:sz="4" w:space="0" w:color="866FC3" w:themeColor="accent1" w:themeTint="99"/>
      </w:tblBorders>
    </w:tblPr>
    <w:tblStylePr w:type="firstRow">
      <w:rPr>
        <w:b/>
        <w:bCs/>
        <w:color w:val="000000" w:themeColor="background1"/>
      </w:rPr>
      <w:tblPr/>
      <w:tcPr>
        <w:tcBorders>
          <w:top w:val="single" w:sz="4" w:space="0" w:color="463278" w:themeColor="accent1"/>
          <w:left w:val="single" w:sz="4" w:space="0" w:color="463278" w:themeColor="accent1"/>
          <w:bottom w:val="single" w:sz="4" w:space="0" w:color="463278" w:themeColor="accent1"/>
          <w:right w:val="single" w:sz="4" w:space="0" w:color="463278" w:themeColor="accent1"/>
          <w:insideH w:val="nil"/>
          <w:insideV w:val="nil"/>
        </w:tcBorders>
        <w:shd w:val="clear" w:color="auto" w:fill="463278" w:themeFill="accent1"/>
      </w:tcPr>
    </w:tblStylePr>
    <w:tblStylePr w:type="lastRow">
      <w:rPr>
        <w:b/>
        <w:bCs/>
      </w:rPr>
      <w:tblPr/>
      <w:tcPr>
        <w:tcBorders>
          <w:top w:val="double" w:sz="4" w:space="0" w:color="463278" w:themeColor="accent1"/>
        </w:tcBorders>
      </w:tcPr>
    </w:tblStylePr>
    <w:tblStylePr w:type="firstCol">
      <w:rPr>
        <w:b/>
        <w:bCs/>
      </w:rPr>
    </w:tblStylePr>
    <w:tblStylePr w:type="lastCol">
      <w:rPr>
        <w:b/>
        <w:bCs/>
      </w:rPr>
    </w:tblStylePr>
    <w:tblStylePr w:type="band1Vert">
      <w:tblPr/>
      <w:tcPr>
        <w:shd w:val="clear" w:color="auto" w:fill="D6CFEB" w:themeFill="accent1" w:themeFillTint="33"/>
      </w:tcPr>
    </w:tblStylePr>
    <w:tblStylePr w:type="band1Horz">
      <w:tblPr/>
      <w:tcPr>
        <w:shd w:val="clear" w:color="auto" w:fill="D6CFEB" w:themeFill="accent1" w:themeFillTint="33"/>
      </w:tcPr>
    </w:tblStylePr>
  </w:style>
  <w:style w:type="table" w:styleId="GridTable3">
    <w:name w:val="Grid Table 3"/>
    <w:basedOn w:val="TableNormal"/>
    <w:uiPriority w:val="48"/>
    <w:rsid w:val="006C67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0000" w:themeFill="background1"/>
      </w:tcPr>
    </w:tblStylePr>
    <w:tblStylePr w:type="lastRow">
      <w:rPr>
        <w:b/>
        <w:bCs/>
      </w:rPr>
      <w:tblPr/>
      <w:tcPr>
        <w:tcBorders>
          <w:left w:val="nil"/>
          <w:bottom w:val="nil"/>
          <w:right w:val="nil"/>
          <w:insideH w:val="nil"/>
          <w:insideV w:val="nil"/>
        </w:tcBorders>
        <w:shd w:val="clear" w:color="auto" w:fill="000000" w:themeFill="background1"/>
      </w:tcPr>
    </w:tblStylePr>
    <w:tblStylePr w:type="firstCol">
      <w:pPr>
        <w:jc w:val="right"/>
      </w:pPr>
      <w:rPr>
        <w:i/>
        <w:iCs/>
      </w:rPr>
      <w:tblPr/>
      <w:tcPr>
        <w:tcBorders>
          <w:top w:val="nil"/>
          <w:left w:val="nil"/>
          <w:bottom w:val="nil"/>
          <w:insideH w:val="nil"/>
          <w:insideV w:val="nil"/>
        </w:tcBorders>
        <w:shd w:val="clear" w:color="auto" w:fill="000000" w:themeFill="background1"/>
      </w:tcPr>
    </w:tblStylePr>
    <w:tblStylePr w:type="lastCol">
      <w:rPr>
        <w:i/>
        <w:iCs/>
      </w:rPr>
      <w:tblPr/>
      <w:tcPr>
        <w:tcBorders>
          <w:top w:val="nil"/>
          <w:bottom w:val="nil"/>
          <w:right w:val="nil"/>
          <w:insideH w:val="nil"/>
          <w:insideV w:val="nil"/>
        </w:tcBorders>
        <w:shd w:val="clear" w:color="auto" w:fill="000000"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1">
    <w:name w:val="Grid Table 5 Dark Accent 1"/>
    <w:basedOn w:val="TableNormal"/>
    <w:uiPriority w:val="50"/>
    <w:rsid w:val="006C6741"/>
    <w:pPr>
      <w:spacing w:after="0" w:line="240" w:lineRule="auto"/>
    </w:pPr>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D6CFEB"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463278"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463278"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463278"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463278" w:themeFill="accent1"/>
      </w:tcPr>
    </w:tblStylePr>
    <w:tblStylePr w:type="band1Vert">
      <w:tblPr/>
      <w:tcPr>
        <w:shd w:val="clear" w:color="auto" w:fill="AE9FD7" w:themeFill="accent1" w:themeFillTint="66"/>
      </w:tcPr>
    </w:tblStylePr>
    <w:tblStylePr w:type="band1Horz">
      <w:tblPr/>
      <w:tcPr>
        <w:shd w:val="clear" w:color="auto" w:fill="AE9FD7" w:themeFill="accent1" w:themeFillTint="66"/>
      </w:tcPr>
    </w:tblStylePr>
  </w:style>
  <w:style w:type="paragraph" w:customStyle="1" w:styleId="Table">
    <w:name w:val="Table"/>
    <w:basedOn w:val="BodyText"/>
    <w:next w:val="BodyText"/>
    <w:link w:val="TableChar"/>
    <w:rsid w:val="006C6741"/>
    <w:pPr>
      <w:spacing w:before="0" w:after="0" w:line="240" w:lineRule="auto"/>
    </w:pPr>
    <w:rPr>
      <w:sz w:val="20"/>
    </w:rPr>
  </w:style>
  <w:style w:type="paragraph" w:styleId="Header">
    <w:name w:val="header"/>
    <w:basedOn w:val="Normal"/>
    <w:link w:val="HeaderChar"/>
    <w:uiPriority w:val="99"/>
    <w:unhideWhenUsed/>
    <w:rsid w:val="00E937CA"/>
    <w:pPr>
      <w:tabs>
        <w:tab w:val="center" w:pos="4513"/>
        <w:tab w:val="right" w:pos="9026"/>
      </w:tabs>
      <w:spacing w:before="0" w:after="0" w:line="240" w:lineRule="auto"/>
    </w:pPr>
  </w:style>
  <w:style w:type="paragraph" w:styleId="BodyText">
    <w:name w:val="Body Text"/>
    <w:basedOn w:val="Normal"/>
    <w:link w:val="BodyTextChar"/>
    <w:uiPriority w:val="99"/>
    <w:semiHidden/>
    <w:unhideWhenUsed/>
    <w:rsid w:val="006C6741"/>
    <w:pPr>
      <w:spacing w:after="120"/>
    </w:pPr>
  </w:style>
  <w:style w:type="character" w:customStyle="1" w:styleId="BodyTextChar">
    <w:name w:val="Body Text Char"/>
    <w:basedOn w:val="DefaultParagraphFont"/>
    <w:link w:val="BodyText"/>
    <w:uiPriority w:val="99"/>
    <w:semiHidden/>
    <w:rsid w:val="006C6741"/>
    <w:rPr>
      <w:rFonts w:ascii="Gilroy Light" w:hAnsi="Gilroy Light"/>
    </w:rPr>
  </w:style>
  <w:style w:type="character" w:customStyle="1" w:styleId="TableChar">
    <w:name w:val="Table Char"/>
    <w:basedOn w:val="DefaultParagraphFont"/>
    <w:link w:val="Table"/>
    <w:rsid w:val="00C34707"/>
    <w:rPr>
      <w:rFonts w:ascii="Gilroy Light" w:hAnsi="Gilroy Light"/>
      <w:sz w:val="20"/>
    </w:rPr>
  </w:style>
  <w:style w:type="character" w:customStyle="1" w:styleId="HeaderChar">
    <w:name w:val="Header Char"/>
    <w:basedOn w:val="DefaultParagraphFont"/>
    <w:link w:val="Header"/>
    <w:uiPriority w:val="99"/>
    <w:rsid w:val="00E937CA"/>
    <w:rPr>
      <w:rFonts w:ascii="Gilroy Light" w:hAnsi="Gilroy Light"/>
    </w:rPr>
  </w:style>
  <w:style w:type="paragraph" w:styleId="Footer">
    <w:name w:val="footer"/>
    <w:basedOn w:val="Normal"/>
    <w:link w:val="FooterChar"/>
    <w:uiPriority w:val="99"/>
    <w:unhideWhenUsed/>
    <w:rsid w:val="00E937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37CA"/>
    <w:rPr>
      <w:rFonts w:ascii="Gilroy Light" w:hAnsi="Gilroy Light"/>
    </w:rPr>
  </w:style>
  <w:style w:type="paragraph" w:styleId="ListParagraph">
    <w:name w:val="List Paragraph"/>
    <w:basedOn w:val="Normal"/>
    <w:uiPriority w:val="34"/>
    <w:qFormat/>
    <w:rsid w:val="0042608C"/>
    <w:pPr>
      <w:ind w:left="720"/>
      <w:contextualSpacing/>
    </w:pPr>
  </w:style>
  <w:style w:type="paragraph" w:customStyle="1" w:styleId="Head3">
    <w:name w:val="Head 3"/>
    <w:basedOn w:val="Heading1"/>
    <w:link w:val="Head3Char"/>
    <w:qFormat/>
    <w:rsid w:val="000A3653"/>
    <w:pPr>
      <w:spacing w:before="0" w:after="240"/>
    </w:pPr>
    <w:rPr>
      <w:color w:val="F53764" w:themeColor="accent2"/>
      <w:sz w:val="28"/>
    </w:rPr>
  </w:style>
  <w:style w:type="paragraph" w:customStyle="1" w:styleId="Bullet1">
    <w:name w:val="Bullet 1"/>
    <w:basedOn w:val="Normal"/>
    <w:link w:val="Bullet1Char"/>
    <w:qFormat/>
    <w:rsid w:val="003E78E7"/>
    <w:pPr>
      <w:numPr>
        <w:numId w:val="3"/>
      </w:numPr>
    </w:pPr>
  </w:style>
  <w:style w:type="character" w:customStyle="1" w:styleId="Head3Char">
    <w:name w:val="Head 3 Char"/>
    <w:basedOn w:val="Heading1Char"/>
    <w:link w:val="Head3"/>
    <w:rsid w:val="000A3653"/>
    <w:rPr>
      <w:rFonts w:ascii="Century Gothic" w:eastAsiaTheme="majorEastAsia" w:hAnsi="Century Gothic" w:cstheme="majorBidi"/>
      <w:b/>
      <w:color w:val="F53764" w:themeColor="accent2"/>
      <w:sz w:val="28"/>
      <w:szCs w:val="32"/>
    </w:rPr>
  </w:style>
  <w:style w:type="paragraph" w:customStyle="1" w:styleId="Bullet2">
    <w:name w:val="Bullet 2"/>
    <w:basedOn w:val="Bullet1"/>
    <w:qFormat/>
    <w:rsid w:val="003E78E7"/>
    <w:pPr>
      <w:numPr>
        <w:numId w:val="4"/>
      </w:numPr>
    </w:pPr>
  </w:style>
  <w:style w:type="character" w:customStyle="1" w:styleId="Bullet1Char">
    <w:name w:val="Bullet 1 Char"/>
    <w:basedOn w:val="DefaultParagraphFont"/>
    <w:link w:val="Bullet1"/>
    <w:rsid w:val="003E78E7"/>
    <w:rPr>
      <w:rFonts w:ascii="Gilroy Light" w:hAnsi="Gilroy Light"/>
    </w:rPr>
  </w:style>
  <w:style w:type="paragraph" w:customStyle="1" w:styleId="Bullet3">
    <w:name w:val="Bullet 3"/>
    <w:basedOn w:val="Bullet2"/>
    <w:qFormat/>
    <w:rsid w:val="003E78E7"/>
    <w:pPr>
      <w:numPr>
        <w:numId w:val="5"/>
      </w:numPr>
    </w:pPr>
  </w:style>
  <w:style w:type="paragraph" w:customStyle="1" w:styleId="NormalIndentedsubheading1">
    <w:name w:val="Normal Indented subheading 1"/>
    <w:basedOn w:val="Normal"/>
    <w:qFormat/>
    <w:rsid w:val="006927E0"/>
    <w:pPr>
      <w:ind w:left="720" w:hanging="360"/>
    </w:pPr>
  </w:style>
  <w:style w:type="paragraph" w:customStyle="1" w:styleId="Head1">
    <w:name w:val="Head 1"/>
    <w:basedOn w:val="Head3"/>
    <w:link w:val="Head1Char"/>
    <w:qFormat/>
    <w:rsid w:val="000A3653"/>
    <w:rPr>
      <w:color w:val="auto"/>
    </w:rPr>
  </w:style>
  <w:style w:type="paragraph" w:customStyle="1" w:styleId="Head2">
    <w:name w:val="Head 2"/>
    <w:basedOn w:val="Head1"/>
    <w:link w:val="Head2Char"/>
    <w:qFormat/>
    <w:rsid w:val="000A3653"/>
    <w:rPr>
      <w:color w:val="463278" w:themeColor="accent1"/>
    </w:rPr>
  </w:style>
  <w:style w:type="character" w:customStyle="1" w:styleId="Head1Char">
    <w:name w:val="Head 1 Char"/>
    <w:basedOn w:val="Head3Char"/>
    <w:link w:val="Head1"/>
    <w:rsid w:val="000A3653"/>
    <w:rPr>
      <w:rFonts w:ascii="Century Gothic" w:eastAsiaTheme="majorEastAsia" w:hAnsi="Century Gothic" w:cstheme="majorBidi"/>
      <w:b/>
      <w:color w:val="F53764" w:themeColor="accent2"/>
      <w:sz w:val="28"/>
      <w:szCs w:val="32"/>
    </w:rPr>
  </w:style>
  <w:style w:type="character" w:customStyle="1" w:styleId="Head2Char">
    <w:name w:val="Head 2 Char"/>
    <w:basedOn w:val="Head1Char"/>
    <w:link w:val="Head2"/>
    <w:rsid w:val="000A3653"/>
    <w:rPr>
      <w:rFonts w:ascii="Century Gothic" w:eastAsiaTheme="majorEastAsia" w:hAnsi="Century Gothic" w:cstheme="majorBidi"/>
      <w:b/>
      <w:color w:val="463278" w:themeColor="accent1"/>
      <w:sz w:val="28"/>
      <w:szCs w:val="32"/>
    </w:rPr>
  </w:style>
  <w:style w:type="paragraph" w:customStyle="1" w:styleId="paragraph">
    <w:name w:val="paragraph"/>
    <w:basedOn w:val="Normal"/>
    <w:rsid w:val="000758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58C3"/>
  </w:style>
  <w:style w:type="character" w:customStyle="1" w:styleId="eop">
    <w:name w:val="eop"/>
    <w:basedOn w:val="DefaultParagraphFont"/>
    <w:rsid w:val="0007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8512">
      <w:bodyDiv w:val="1"/>
      <w:marLeft w:val="0"/>
      <w:marRight w:val="0"/>
      <w:marTop w:val="0"/>
      <w:marBottom w:val="0"/>
      <w:divBdr>
        <w:top w:val="none" w:sz="0" w:space="0" w:color="auto"/>
        <w:left w:val="none" w:sz="0" w:space="0" w:color="auto"/>
        <w:bottom w:val="none" w:sz="0" w:space="0" w:color="auto"/>
        <w:right w:val="none" w:sz="0" w:space="0" w:color="auto"/>
      </w:divBdr>
      <w:divsChild>
        <w:div w:id="1864240723">
          <w:marLeft w:val="0"/>
          <w:marRight w:val="0"/>
          <w:marTop w:val="0"/>
          <w:marBottom w:val="0"/>
          <w:divBdr>
            <w:top w:val="none" w:sz="0" w:space="0" w:color="auto"/>
            <w:left w:val="none" w:sz="0" w:space="0" w:color="auto"/>
            <w:bottom w:val="none" w:sz="0" w:space="0" w:color="auto"/>
            <w:right w:val="none" w:sz="0" w:space="0" w:color="auto"/>
          </w:divBdr>
        </w:div>
        <w:div w:id="323778803">
          <w:marLeft w:val="0"/>
          <w:marRight w:val="0"/>
          <w:marTop w:val="0"/>
          <w:marBottom w:val="0"/>
          <w:divBdr>
            <w:top w:val="none" w:sz="0" w:space="0" w:color="auto"/>
            <w:left w:val="none" w:sz="0" w:space="0" w:color="auto"/>
            <w:bottom w:val="none" w:sz="0" w:space="0" w:color="auto"/>
            <w:right w:val="none" w:sz="0" w:space="0" w:color="auto"/>
          </w:divBdr>
        </w:div>
        <w:div w:id="516700126">
          <w:marLeft w:val="0"/>
          <w:marRight w:val="0"/>
          <w:marTop w:val="0"/>
          <w:marBottom w:val="0"/>
          <w:divBdr>
            <w:top w:val="none" w:sz="0" w:space="0" w:color="auto"/>
            <w:left w:val="none" w:sz="0" w:space="0" w:color="auto"/>
            <w:bottom w:val="none" w:sz="0" w:space="0" w:color="auto"/>
            <w:right w:val="none" w:sz="0" w:space="0" w:color="auto"/>
          </w:divBdr>
        </w:div>
        <w:div w:id="1191801327">
          <w:marLeft w:val="0"/>
          <w:marRight w:val="0"/>
          <w:marTop w:val="0"/>
          <w:marBottom w:val="0"/>
          <w:divBdr>
            <w:top w:val="none" w:sz="0" w:space="0" w:color="auto"/>
            <w:left w:val="none" w:sz="0" w:space="0" w:color="auto"/>
            <w:bottom w:val="none" w:sz="0" w:space="0" w:color="auto"/>
            <w:right w:val="none" w:sz="0" w:space="0" w:color="auto"/>
          </w:divBdr>
        </w:div>
        <w:div w:id="280187886">
          <w:marLeft w:val="0"/>
          <w:marRight w:val="0"/>
          <w:marTop w:val="0"/>
          <w:marBottom w:val="0"/>
          <w:divBdr>
            <w:top w:val="none" w:sz="0" w:space="0" w:color="auto"/>
            <w:left w:val="none" w:sz="0" w:space="0" w:color="auto"/>
            <w:bottom w:val="none" w:sz="0" w:space="0" w:color="auto"/>
            <w:right w:val="none" w:sz="0" w:space="0" w:color="auto"/>
          </w:divBdr>
        </w:div>
        <w:div w:id="1922986138">
          <w:marLeft w:val="0"/>
          <w:marRight w:val="0"/>
          <w:marTop w:val="0"/>
          <w:marBottom w:val="0"/>
          <w:divBdr>
            <w:top w:val="none" w:sz="0" w:space="0" w:color="auto"/>
            <w:left w:val="none" w:sz="0" w:space="0" w:color="auto"/>
            <w:bottom w:val="none" w:sz="0" w:space="0" w:color="auto"/>
            <w:right w:val="none" w:sz="0" w:space="0" w:color="auto"/>
          </w:divBdr>
        </w:div>
        <w:div w:id="1729452350">
          <w:marLeft w:val="0"/>
          <w:marRight w:val="0"/>
          <w:marTop w:val="0"/>
          <w:marBottom w:val="0"/>
          <w:divBdr>
            <w:top w:val="none" w:sz="0" w:space="0" w:color="auto"/>
            <w:left w:val="none" w:sz="0" w:space="0" w:color="auto"/>
            <w:bottom w:val="none" w:sz="0" w:space="0" w:color="auto"/>
            <w:right w:val="none" w:sz="0" w:space="0" w:color="auto"/>
          </w:divBdr>
        </w:div>
        <w:div w:id="1306351653">
          <w:marLeft w:val="0"/>
          <w:marRight w:val="0"/>
          <w:marTop w:val="0"/>
          <w:marBottom w:val="0"/>
          <w:divBdr>
            <w:top w:val="none" w:sz="0" w:space="0" w:color="auto"/>
            <w:left w:val="none" w:sz="0" w:space="0" w:color="auto"/>
            <w:bottom w:val="none" w:sz="0" w:space="0" w:color="auto"/>
            <w:right w:val="none" w:sz="0" w:space="0" w:color="auto"/>
          </w:divBdr>
        </w:div>
        <w:div w:id="396980287">
          <w:marLeft w:val="0"/>
          <w:marRight w:val="0"/>
          <w:marTop w:val="0"/>
          <w:marBottom w:val="0"/>
          <w:divBdr>
            <w:top w:val="none" w:sz="0" w:space="0" w:color="auto"/>
            <w:left w:val="none" w:sz="0" w:space="0" w:color="auto"/>
            <w:bottom w:val="none" w:sz="0" w:space="0" w:color="auto"/>
            <w:right w:val="none" w:sz="0" w:space="0" w:color="auto"/>
          </w:divBdr>
        </w:div>
        <w:div w:id="1171599023">
          <w:marLeft w:val="0"/>
          <w:marRight w:val="0"/>
          <w:marTop w:val="0"/>
          <w:marBottom w:val="0"/>
          <w:divBdr>
            <w:top w:val="none" w:sz="0" w:space="0" w:color="auto"/>
            <w:left w:val="none" w:sz="0" w:space="0" w:color="auto"/>
            <w:bottom w:val="none" w:sz="0" w:space="0" w:color="auto"/>
            <w:right w:val="none" w:sz="0" w:space="0" w:color="auto"/>
          </w:divBdr>
        </w:div>
        <w:div w:id="175384977">
          <w:marLeft w:val="0"/>
          <w:marRight w:val="0"/>
          <w:marTop w:val="0"/>
          <w:marBottom w:val="0"/>
          <w:divBdr>
            <w:top w:val="none" w:sz="0" w:space="0" w:color="auto"/>
            <w:left w:val="none" w:sz="0" w:space="0" w:color="auto"/>
            <w:bottom w:val="none" w:sz="0" w:space="0" w:color="auto"/>
            <w:right w:val="none" w:sz="0" w:space="0" w:color="auto"/>
          </w:divBdr>
        </w:div>
        <w:div w:id="1123502253">
          <w:marLeft w:val="0"/>
          <w:marRight w:val="0"/>
          <w:marTop w:val="0"/>
          <w:marBottom w:val="0"/>
          <w:divBdr>
            <w:top w:val="none" w:sz="0" w:space="0" w:color="auto"/>
            <w:left w:val="none" w:sz="0" w:space="0" w:color="auto"/>
            <w:bottom w:val="none" w:sz="0" w:space="0" w:color="auto"/>
            <w:right w:val="none" w:sz="0" w:space="0" w:color="auto"/>
          </w:divBdr>
        </w:div>
        <w:div w:id="938025036">
          <w:marLeft w:val="0"/>
          <w:marRight w:val="0"/>
          <w:marTop w:val="0"/>
          <w:marBottom w:val="0"/>
          <w:divBdr>
            <w:top w:val="none" w:sz="0" w:space="0" w:color="auto"/>
            <w:left w:val="none" w:sz="0" w:space="0" w:color="auto"/>
            <w:bottom w:val="none" w:sz="0" w:space="0" w:color="auto"/>
            <w:right w:val="none" w:sz="0" w:space="0" w:color="auto"/>
          </w:divBdr>
        </w:div>
        <w:div w:id="385490807">
          <w:marLeft w:val="0"/>
          <w:marRight w:val="0"/>
          <w:marTop w:val="0"/>
          <w:marBottom w:val="0"/>
          <w:divBdr>
            <w:top w:val="none" w:sz="0" w:space="0" w:color="auto"/>
            <w:left w:val="none" w:sz="0" w:space="0" w:color="auto"/>
            <w:bottom w:val="none" w:sz="0" w:space="0" w:color="auto"/>
            <w:right w:val="none" w:sz="0" w:space="0" w:color="auto"/>
          </w:divBdr>
        </w:div>
        <w:div w:id="422150068">
          <w:marLeft w:val="0"/>
          <w:marRight w:val="0"/>
          <w:marTop w:val="0"/>
          <w:marBottom w:val="0"/>
          <w:divBdr>
            <w:top w:val="none" w:sz="0" w:space="0" w:color="auto"/>
            <w:left w:val="none" w:sz="0" w:space="0" w:color="auto"/>
            <w:bottom w:val="none" w:sz="0" w:space="0" w:color="auto"/>
            <w:right w:val="none" w:sz="0" w:space="0" w:color="auto"/>
          </w:divBdr>
        </w:div>
        <w:div w:id="1280722811">
          <w:marLeft w:val="0"/>
          <w:marRight w:val="0"/>
          <w:marTop w:val="0"/>
          <w:marBottom w:val="0"/>
          <w:divBdr>
            <w:top w:val="none" w:sz="0" w:space="0" w:color="auto"/>
            <w:left w:val="none" w:sz="0" w:space="0" w:color="auto"/>
            <w:bottom w:val="none" w:sz="0" w:space="0" w:color="auto"/>
            <w:right w:val="none" w:sz="0" w:space="0" w:color="auto"/>
          </w:divBdr>
        </w:div>
        <w:div w:id="1489709471">
          <w:marLeft w:val="0"/>
          <w:marRight w:val="0"/>
          <w:marTop w:val="0"/>
          <w:marBottom w:val="0"/>
          <w:divBdr>
            <w:top w:val="none" w:sz="0" w:space="0" w:color="auto"/>
            <w:left w:val="none" w:sz="0" w:space="0" w:color="auto"/>
            <w:bottom w:val="none" w:sz="0" w:space="0" w:color="auto"/>
            <w:right w:val="none" w:sz="0" w:space="0" w:color="auto"/>
          </w:divBdr>
        </w:div>
        <w:div w:id="1407416151">
          <w:marLeft w:val="0"/>
          <w:marRight w:val="0"/>
          <w:marTop w:val="0"/>
          <w:marBottom w:val="0"/>
          <w:divBdr>
            <w:top w:val="none" w:sz="0" w:space="0" w:color="auto"/>
            <w:left w:val="none" w:sz="0" w:space="0" w:color="auto"/>
            <w:bottom w:val="none" w:sz="0" w:space="0" w:color="auto"/>
            <w:right w:val="none" w:sz="0" w:space="0" w:color="auto"/>
          </w:divBdr>
        </w:div>
        <w:div w:id="1603101153">
          <w:marLeft w:val="0"/>
          <w:marRight w:val="0"/>
          <w:marTop w:val="0"/>
          <w:marBottom w:val="0"/>
          <w:divBdr>
            <w:top w:val="none" w:sz="0" w:space="0" w:color="auto"/>
            <w:left w:val="none" w:sz="0" w:space="0" w:color="auto"/>
            <w:bottom w:val="none" w:sz="0" w:space="0" w:color="auto"/>
            <w:right w:val="none" w:sz="0" w:space="0" w:color="auto"/>
          </w:divBdr>
        </w:div>
        <w:div w:id="125510619">
          <w:marLeft w:val="0"/>
          <w:marRight w:val="0"/>
          <w:marTop w:val="0"/>
          <w:marBottom w:val="0"/>
          <w:divBdr>
            <w:top w:val="none" w:sz="0" w:space="0" w:color="auto"/>
            <w:left w:val="none" w:sz="0" w:space="0" w:color="auto"/>
            <w:bottom w:val="none" w:sz="0" w:space="0" w:color="auto"/>
            <w:right w:val="none" w:sz="0" w:space="0" w:color="auto"/>
          </w:divBdr>
        </w:div>
        <w:div w:id="436290901">
          <w:marLeft w:val="0"/>
          <w:marRight w:val="0"/>
          <w:marTop w:val="0"/>
          <w:marBottom w:val="0"/>
          <w:divBdr>
            <w:top w:val="none" w:sz="0" w:space="0" w:color="auto"/>
            <w:left w:val="none" w:sz="0" w:space="0" w:color="auto"/>
            <w:bottom w:val="none" w:sz="0" w:space="0" w:color="auto"/>
            <w:right w:val="none" w:sz="0" w:space="0" w:color="auto"/>
          </w:divBdr>
        </w:div>
        <w:div w:id="2020499435">
          <w:marLeft w:val="0"/>
          <w:marRight w:val="0"/>
          <w:marTop w:val="0"/>
          <w:marBottom w:val="0"/>
          <w:divBdr>
            <w:top w:val="none" w:sz="0" w:space="0" w:color="auto"/>
            <w:left w:val="none" w:sz="0" w:space="0" w:color="auto"/>
            <w:bottom w:val="none" w:sz="0" w:space="0" w:color="auto"/>
            <w:right w:val="none" w:sz="0" w:space="0" w:color="auto"/>
          </w:divBdr>
        </w:div>
        <w:div w:id="1296789180">
          <w:marLeft w:val="0"/>
          <w:marRight w:val="0"/>
          <w:marTop w:val="0"/>
          <w:marBottom w:val="0"/>
          <w:divBdr>
            <w:top w:val="none" w:sz="0" w:space="0" w:color="auto"/>
            <w:left w:val="none" w:sz="0" w:space="0" w:color="auto"/>
            <w:bottom w:val="none" w:sz="0" w:space="0" w:color="auto"/>
            <w:right w:val="none" w:sz="0" w:space="0" w:color="auto"/>
          </w:divBdr>
        </w:div>
        <w:div w:id="1566336249">
          <w:marLeft w:val="0"/>
          <w:marRight w:val="0"/>
          <w:marTop w:val="0"/>
          <w:marBottom w:val="0"/>
          <w:divBdr>
            <w:top w:val="none" w:sz="0" w:space="0" w:color="auto"/>
            <w:left w:val="none" w:sz="0" w:space="0" w:color="auto"/>
            <w:bottom w:val="none" w:sz="0" w:space="0" w:color="auto"/>
            <w:right w:val="none" w:sz="0" w:space="0" w:color="auto"/>
          </w:divBdr>
        </w:div>
        <w:div w:id="1119907573">
          <w:marLeft w:val="0"/>
          <w:marRight w:val="0"/>
          <w:marTop w:val="0"/>
          <w:marBottom w:val="0"/>
          <w:divBdr>
            <w:top w:val="none" w:sz="0" w:space="0" w:color="auto"/>
            <w:left w:val="none" w:sz="0" w:space="0" w:color="auto"/>
            <w:bottom w:val="none" w:sz="0" w:space="0" w:color="auto"/>
            <w:right w:val="none" w:sz="0" w:space="0" w:color="auto"/>
          </w:divBdr>
        </w:div>
        <w:div w:id="1694645308">
          <w:marLeft w:val="0"/>
          <w:marRight w:val="0"/>
          <w:marTop w:val="0"/>
          <w:marBottom w:val="0"/>
          <w:divBdr>
            <w:top w:val="none" w:sz="0" w:space="0" w:color="auto"/>
            <w:left w:val="none" w:sz="0" w:space="0" w:color="auto"/>
            <w:bottom w:val="none" w:sz="0" w:space="0" w:color="auto"/>
            <w:right w:val="none" w:sz="0" w:space="0" w:color="auto"/>
          </w:divBdr>
        </w:div>
        <w:div w:id="1894777807">
          <w:marLeft w:val="0"/>
          <w:marRight w:val="0"/>
          <w:marTop w:val="0"/>
          <w:marBottom w:val="0"/>
          <w:divBdr>
            <w:top w:val="none" w:sz="0" w:space="0" w:color="auto"/>
            <w:left w:val="none" w:sz="0" w:space="0" w:color="auto"/>
            <w:bottom w:val="none" w:sz="0" w:space="0" w:color="auto"/>
            <w:right w:val="none" w:sz="0" w:space="0" w:color="auto"/>
          </w:divBdr>
        </w:div>
        <w:div w:id="819033039">
          <w:marLeft w:val="0"/>
          <w:marRight w:val="0"/>
          <w:marTop w:val="0"/>
          <w:marBottom w:val="0"/>
          <w:divBdr>
            <w:top w:val="none" w:sz="0" w:space="0" w:color="auto"/>
            <w:left w:val="none" w:sz="0" w:space="0" w:color="auto"/>
            <w:bottom w:val="none" w:sz="0" w:space="0" w:color="auto"/>
            <w:right w:val="none" w:sz="0" w:space="0" w:color="auto"/>
          </w:divBdr>
        </w:div>
        <w:div w:id="1764302060">
          <w:marLeft w:val="0"/>
          <w:marRight w:val="0"/>
          <w:marTop w:val="0"/>
          <w:marBottom w:val="0"/>
          <w:divBdr>
            <w:top w:val="none" w:sz="0" w:space="0" w:color="auto"/>
            <w:left w:val="none" w:sz="0" w:space="0" w:color="auto"/>
            <w:bottom w:val="none" w:sz="0" w:space="0" w:color="auto"/>
            <w:right w:val="none" w:sz="0" w:space="0" w:color="auto"/>
          </w:divBdr>
        </w:div>
        <w:div w:id="348799968">
          <w:marLeft w:val="0"/>
          <w:marRight w:val="0"/>
          <w:marTop w:val="0"/>
          <w:marBottom w:val="0"/>
          <w:divBdr>
            <w:top w:val="none" w:sz="0" w:space="0" w:color="auto"/>
            <w:left w:val="none" w:sz="0" w:space="0" w:color="auto"/>
            <w:bottom w:val="none" w:sz="0" w:space="0" w:color="auto"/>
            <w:right w:val="none" w:sz="0" w:space="0" w:color="auto"/>
          </w:divBdr>
        </w:div>
        <w:div w:id="2059546161">
          <w:marLeft w:val="0"/>
          <w:marRight w:val="0"/>
          <w:marTop w:val="0"/>
          <w:marBottom w:val="0"/>
          <w:divBdr>
            <w:top w:val="none" w:sz="0" w:space="0" w:color="auto"/>
            <w:left w:val="none" w:sz="0" w:space="0" w:color="auto"/>
            <w:bottom w:val="none" w:sz="0" w:space="0" w:color="auto"/>
            <w:right w:val="none" w:sz="0" w:space="0" w:color="auto"/>
          </w:divBdr>
        </w:div>
        <w:div w:id="602998372">
          <w:marLeft w:val="0"/>
          <w:marRight w:val="0"/>
          <w:marTop w:val="0"/>
          <w:marBottom w:val="0"/>
          <w:divBdr>
            <w:top w:val="none" w:sz="0" w:space="0" w:color="auto"/>
            <w:left w:val="none" w:sz="0" w:space="0" w:color="auto"/>
            <w:bottom w:val="none" w:sz="0" w:space="0" w:color="auto"/>
            <w:right w:val="none" w:sz="0" w:space="0" w:color="auto"/>
          </w:divBdr>
        </w:div>
        <w:div w:id="625745570">
          <w:marLeft w:val="0"/>
          <w:marRight w:val="0"/>
          <w:marTop w:val="0"/>
          <w:marBottom w:val="0"/>
          <w:divBdr>
            <w:top w:val="none" w:sz="0" w:space="0" w:color="auto"/>
            <w:left w:val="none" w:sz="0" w:space="0" w:color="auto"/>
            <w:bottom w:val="none" w:sz="0" w:space="0" w:color="auto"/>
            <w:right w:val="none" w:sz="0" w:space="0" w:color="auto"/>
          </w:divBdr>
        </w:div>
        <w:div w:id="1109160836">
          <w:marLeft w:val="0"/>
          <w:marRight w:val="0"/>
          <w:marTop w:val="0"/>
          <w:marBottom w:val="0"/>
          <w:divBdr>
            <w:top w:val="none" w:sz="0" w:space="0" w:color="auto"/>
            <w:left w:val="none" w:sz="0" w:space="0" w:color="auto"/>
            <w:bottom w:val="none" w:sz="0" w:space="0" w:color="auto"/>
            <w:right w:val="none" w:sz="0" w:space="0" w:color="auto"/>
          </w:divBdr>
        </w:div>
        <w:div w:id="1200899958">
          <w:marLeft w:val="0"/>
          <w:marRight w:val="0"/>
          <w:marTop w:val="0"/>
          <w:marBottom w:val="0"/>
          <w:divBdr>
            <w:top w:val="none" w:sz="0" w:space="0" w:color="auto"/>
            <w:left w:val="none" w:sz="0" w:space="0" w:color="auto"/>
            <w:bottom w:val="none" w:sz="0" w:space="0" w:color="auto"/>
            <w:right w:val="none" w:sz="0" w:space="0" w:color="auto"/>
          </w:divBdr>
        </w:div>
        <w:div w:id="369651604">
          <w:marLeft w:val="0"/>
          <w:marRight w:val="0"/>
          <w:marTop w:val="0"/>
          <w:marBottom w:val="0"/>
          <w:divBdr>
            <w:top w:val="none" w:sz="0" w:space="0" w:color="auto"/>
            <w:left w:val="none" w:sz="0" w:space="0" w:color="auto"/>
            <w:bottom w:val="none" w:sz="0" w:space="0" w:color="auto"/>
            <w:right w:val="none" w:sz="0" w:space="0" w:color="auto"/>
          </w:divBdr>
        </w:div>
        <w:div w:id="773328333">
          <w:marLeft w:val="0"/>
          <w:marRight w:val="0"/>
          <w:marTop w:val="0"/>
          <w:marBottom w:val="0"/>
          <w:divBdr>
            <w:top w:val="none" w:sz="0" w:space="0" w:color="auto"/>
            <w:left w:val="none" w:sz="0" w:space="0" w:color="auto"/>
            <w:bottom w:val="none" w:sz="0" w:space="0" w:color="auto"/>
            <w:right w:val="none" w:sz="0" w:space="0" w:color="auto"/>
          </w:divBdr>
        </w:div>
        <w:div w:id="1833255496">
          <w:marLeft w:val="0"/>
          <w:marRight w:val="0"/>
          <w:marTop w:val="0"/>
          <w:marBottom w:val="0"/>
          <w:divBdr>
            <w:top w:val="none" w:sz="0" w:space="0" w:color="auto"/>
            <w:left w:val="none" w:sz="0" w:space="0" w:color="auto"/>
            <w:bottom w:val="none" w:sz="0" w:space="0" w:color="auto"/>
            <w:right w:val="none" w:sz="0" w:space="0" w:color="auto"/>
          </w:divBdr>
        </w:div>
        <w:div w:id="1883320957">
          <w:marLeft w:val="0"/>
          <w:marRight w:val="0"/>
          <w:marTop w:val="0"/>
          <w:marBottom w:val="0"/>
          <w:divBdr>
            <w:top w:val="none" w:sz="0" w:space="0" w:color="auto"/>
            <w:left w:val="none" w:sz="0" w:space="0" w:color="auto"/>
            <w:bottom w:val="none" w:sz="0" w:space="0" w:color="auto"/>
            <w:right w:val="none" w:sz="0" w:space="0" w:color="auto"/>
          </w:divBdr>
        </w:div>
        <w:div w:id="1986279151">
          <w:marLeft w:val="0"/>
          <w:marRight w:val="0"/>
          <w:marTop w:val="0"/>
          <w:marBottom w:val="0"/>
          <w:divBdr>
            <w:top w:val="none" w:sz="0" w:space="0" w:color="auto"/>
            <w:left w:val="none" w:sz="0" w:space="0" w:color="auto"/>
            <w:bottom w:val="none" w:sz="0" w:space="0" w:color="auto"/>
            <w:right w:val="none" w:sz="0" w:space="0" w:color="auto"/>
          </w:divBdr>
        </w:div>
        <w:div w:id="345451063">
          <w:marLeft w:val="0"/>
          <w:marRight w:val="0"/>
          <w:marTop w:val="0"/>
          <w:marBottom w:val="0"/>
          <w:divBdr>
            <w:top w:val="none" w:sz="0" w:space="0" w:color="auto"/>
            <w:left w:val="none" w:sz="0" w:space="0" w:color="auto"/>
            <w:bottom w:val="none" w:sz="0" w:space="0" w:color="auto"/>
            <w:right w:val="none" w:sz="0" w:space="0" w:color="auto"/>
          </w:divBdr>
        </w:div>
        <w:div w:id="327487448">
          <w:marLeft w:val="0"/>
          <w:marRight w:val="0"/>
          <w:marTop w:val="0"/>
          <w:marBottom w:val="0"/>
          <w:divBdr>
            <w:top w:val="none" w:sz="0" w:space="0" w:color="auto"/>
            <w:left w:val="none" w:sz="0" w:space="0" w:color="auto"/>
            <w:bottom w:val="none" w:sz="0" w:space="0" w:color="auto"/>
            <w:right w:val="none" w:sz="0" w:space="0" w:color="auto"/>
          </w:divBdr>
        </w:div>
      </w:divsChild>
    </w:div>
    <w:div w:id="17090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hanley\Desktop\The%20Brilliant%20Club%20Brand%20Package%2017\Word%20Templates\The%20Brilliant%20Club%20Template.dotx" TargetMode="External"/></Relationships>
</file>

<file path=word/theme/theme1.xml><?xml version="1.0" encoding="utf-8"?>
<a:theme xmlns:a="http://schemas.openxmlformats.org/drawingml/2006/main" name="Office Theme">
  <a:themeElements>
    <a:clrScheme name="TBC + TSP">
      <a:dk1>
        <a:srgbClr val="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60db689-25f6-41e5-8f61-441024c141e9" xsi:nil="true"/>
    <lcf76f155ced4ddcb4097134ff3c332f xmlns="a81379b3-7c53-4406-b90d-8a3e3ad51c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D8E4289D49C4CB91F2484C3F90535" ma:contentTypeVersion="16" ma:contentTypeDescription="Create a new document." ma:contentTypeScope="" ma:versionID="6f085d1c242b449b072d06ce5bdf87ce">
  <xsd:schema xmlns:xsd="http://www.w3.org/2001/XMLSchema" xmlns:xs="http://www.w3.org/2001/XMLSchema" xmlns:p="http://schemas.microsoft.com/office/2006/metadata/properties" xmlns:ns2="a81379b3-7c53-4406-b90d-8a3e3ad51c03" xmlns:ns3="d60db689-25f6-41e5-8f61-441024c141e9" targetNamespace="http://schemas.microsoft.com/office/2006/metadata/properties" ma:root="true" ma:fieldsID="2e7153c4d80b69b8943b3eba7fbc6681" ns2:_="" ns3:_="">
    <xsd:import namespace="a81379b3-7c53-4406-b90d-8a3e3ad51c03"/>
    <xsd:import namespace="d60db689-25f6-41e5-8f61-441024c14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379b3-7c53-4406-b90d-8a3e3ad51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0db689-25f6-41e5-8f61-441024c14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960fd2-6757-4a7d-a746-81a13042cabd}" ma:internalName="TaxCatchAll" ma:showField="CatchAllData" ma:web="d60db689-25f6-41e5-8f61-441024c14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C36B6-3E65-461B-AFE4-F92961D4B9FB}">
  <ds:schemaRefs>
    <ds:schemaRef ds:uri="http://schemas.microsoft.com/sharepoint/v3/contenttype/forms"/>
  </ds:schemaRefs>
</ds:datastoreItem>
</file>

<file path=customXml/itemProps2.xml><?xml version="1.0" encoding="utf-8"?>
<ds:datastoreItem xmlns:ds="http://schemas.openxmlformats.org/officeDocument/2006/customXml" ds:itemID="{5E3476B5-5554-40F7-9F9B-E3A9EACBD8FD}">
  <ds:schemaRefs>
    <ds:schemaRef ds:uri="http://schemas.microsoft.com/office/2006/metadata/properties"/>
    <ds:schemaRef ds:uri="http://schemas.microsoft.com/office/infopath/2007/PartnerControls"/>
    <ds:schemaRef ds:uri="d60db689-25f6-41e5-8f61-441024c141e9"/>
    <ds:schemaRef ds:uri="a81379b3-7c53-4406-b90d-8a3e3ad51c03"/>
  </ds:schemaRefs>
</ds:datastoreItem>
</file>

<file path=customXml/itemProps3.xml><?xml version="1.0" encoding="utf-8"?>
<ds:datastoreItem xmlns:ds="http://schemas.openxmlformats.org/officeDocument/2006/customXml" ds:itemID="{6436920F-8CBE-411A-8126-AA046345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379b3-7c53-4406-b90d-8a3e3ad51c03"/>
    <ds:schemaRef ds:uri="d60db689-25f6-41e5-8f61-441024c14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 Brilliant Club Template</Template>
  <TotalTime>5</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jadehanley</dc:creator>
  <cp:keywords/>
  <dc:description/>
  <cp:lastModifiedBy>Louise Gilligan</cp:lastModifiedBy>
  <cp:revision>2</cp:revision>
  <dcterms:created xsi:type="dcterms:W3CDTF">2023-03-02T16:42:00Z</dcterms:created>
  <dcterms:modified xsi:type="dcterms:W3CDTF">2023-03-02T16:42:00Z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0x010100960D8E4289D49C4CB91F2484C3F90535</vt:lpwstr>
  </property>
</Properties>
</file>