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FDC" w14:textId="5A679CFD" w:rsidR="002A2EEA" w:rsidRPr="000A3653" w:rsidRDefault="00A254CE" w:rsidP="000A3653">
      <w:pPr>
        <w:pStyle w:val="Head1"/>
      </w:pPr>
      <w:r>
        <w:t>Parent &amp; Carer Resources</w:t>
      </w:r>
    </w:p>
    <w:p w14:paraId="08D7D493" w14:textId="753C41E5" w:rsidR="00A254CE" w:rsidRPr="00A254CE" w:rsidRDefault="00A254CE" w:rsidP="00A254CE">
      <w:pPr>
        <w:pStyle w:val="Head2"/>
      </w:pPr>
      <w:r>
        <w:t>Finance</w:t>
      </w:r>
    </w:p>
    <w:p w14:paraId="5B02B3DD" w14:textId="77777777" w:rsidR="00A254CE" w:rsidRPr="00A254CE" w:rsidRDefault="00A254CE" w:rsidP="00A254CE">
      <w:r w:rsidRPr="00A254CE">
        <w:t xml:space="preserve">Finance is an area that can depend on your individual circumstances and where you are applying from within the UK. The Brilliant Club have put together </w:t>
      </w:r>
      <w:hyperlink r:id="rId10" w:history="1">
        <w:r w:rsidRPr="00A254CE">
          <w:rPr>
            <w:rStyle w:val="Hyperlink"/>
            <w:rFonts w:asciiTheme="majorHAnsi" w:hAnsiTheme="majorHAnsi"/>
          </w:rPr>
          <w:t>this guidance</w:t>
        </w:r>
      </w:hyperlink>
      <w:r w:rsidRPr="00A254CE">
        <w:t xml:space="preserve"> that breaks down the key points by country.  </w:t>
      </w:r>
    </w:p>
    <w:p w14:paraId="11BB026D" w14:textId="77777777" w:rsidR="00A254CE" w:rsidRPr="00A254CE" w:rsidRDefault="00A254CE" w:rsidP="00A254CE">
      <w:r w:rsidRPr="00A254CE">
        <w:t xml:space="preserve">UCAS have lots of comprehensive and reliable information on both </w:t>
      </w:r>
      <w:hyperlink r:id="rId11" w:history="1">
        <w:r w:rsidRPr="00A254CE">
          <w:rPr>
            <w:rStyle w:val="Hyperlink"/>
            <w:rFonts w:asciiTheme="majorHAnsi" w:hAnsiTheme="majorHAnsi"/>
          </w:rPr>
          <w:t>student loans and tuition fees</w:t>
        </w:r>
      </w:hyperlink>
      <w:r w:rsidRPr="00A254CE">
        <w:t xml:space="preserve">, as well as information on </w:t>
      </w:r>
      <w:hyperlink r:id="rId12" w:history="1">
        <w:r w:rsidRPr="00A254CE">
          <w:rPr>
            <w:rStyle w:val="Hyperlink"/>
            <w:rFonts w:asciiTheme="majorHAnsi" w:hAnsiTheme="majorHAnsi"/>
          </w:rPr>
          <w:t>additional funding</w:t>
        </w:r>
      </w:hyperlink>
      <w:r w:rsidRPr="00A254CE">
        <w:t xml:space="preserve"> which covers scholarships and bursaries. You can apply for student finance for </w:t>
      </w:r>
      <w:hyperlink r:id="rId13" w:history="1">
        <w:r w:rsidRPr="00A254CE">
          <w:rPr>
            <w:rStyle w:val="Hyperlink"/>
            <w:rFonts w:asciiTheme="majorHAnsi" w:hAnsiTheme="majorHAnsi"/>
          </w:rPr>
          <w:t>England</w:t>
        </w:r>
      </w:hyperlink>
      <w:r w:rsidRPr="00A254CE">
        <w:t xml:space="preserve">, </w:t>
      </w:r>
      <w:hyperlink r:id="rId14" w:history="1">
        <w:r w:rsidRPr="00A254CE">
          <w:rPr>
            <w:rStyle w:val="Hyperlink"/>
            <w:rFonts w:asciiTheme="majorHAnsi" w:hAnsiTheme="majorHAnsi"/>
          </w:rPr>
          <w:t>Scotland</w:t>
        </w:r>
      </w:hyperlink>
      <w:r w:rsidRPr="00A254CE">
        <w:t xml:space="preserve">, </w:t>
      </w:r>
      <w:hyperlink r:id="rId15" w:history="1">
        <w:r w:rsidRPr="00A254CE">
          <w:rPr>
            <w:rStyle w:val="Hyperlink"/>
            <w:rFonts w:asciiTheme="majorHAnsi" w:hAnsiTheme="majorHAnsi"/>
          </w:rPr>
          <w:t>Wales</w:t>
        </w:r>
      </w:hyperlink>
      <w:r w:rsidRPr="00A254CE">
        <w:t xml:space="preserve"> and </w:t>
      </w:r>
      <w:hyperlink r:id="rId16" w:history="1">
        <w:r w:rsidRPr="00A254CE">
          <w:rPr>
            <w:rStyle w:val="Hyperlink"/>
            <w:rFonts w:asciiTheme="majorHAnsi" w:hAnsiTheme="majorHAnsi"/>
          </w:rPr>
          <w:t>Northern Ireland</w:t>
        </w:r>
      </w:hyperlink>
      <w:r w:rsidRPr="00A254CE">
        <w:t>. Both UCAS and the individual funding bodies have YouTube Channels too which break down individual areas, and a quick search on the relevant channel will bring up helpful sessions on areas such as how and when to apply, how to change your application and upload evidence.  </w:t>
      </w:r>
    </w:p>
    <w:p w14:paraId="4E58BA9B" w14:textId="77777777" w:rsidR="00A254CE" w:rsidRPr="00A254CE" w:rsidRDefault="00A254CE" w:rsidP="00A254CE">
      <w:r w:rsidRPr="00A254CE">
        <w:t xml:space="preserve">For a common myth buster on student finance and key facts on a range of scenarios, </w:t>
      </w:r>
      <w:hyperlink r:id="rId17" w:history="1">
        <w:proofErr w:type="spellStart"/>
        <w:r w:rsidRPr="00A254CE">
          <w:rPr>
            <w:rStyle w:val="Hyperlink"/>
            <w:rFonts w:asciiTheme="majorHAnsi" w:hAnsiTheme="majorHAnsi"/>
          </w:rPr>
          <w:t>MoneySavingExpert</w:t>
        </w:r>
        <w:proofErr w:type="spellEnd"/>
      </w:hyperlink>
      <w:r w:rsidRPr="00A254CE">
        <w:t xml:space="preserve"> also has an excellent article and a range of videos available if you prefer to watch rather than read. For information on Scottish student finance, take a look at this article by </w:t>
      </w:r>
      <w:hyperlink r:id="rId18" w:history="1">
        <w:proofErr w:type="spellStart"/>
        <w:r w:rsidRPr="00A254CE">
          <w:rPr>
            <w:rStyle w:val="Hyperlink"/>
            <w:rFonts w:asciiTheme="majorHAnsi" w:hAnsiTheme="majorHAnsi"/>
          </w:rPr>
          <w:t>SavetheStudent</w:t>
        </w:r>
        <w:proofErr w:type="spellEnd"/>
      </w:hyperlink>
      <w:r w:rsidRPr="00A254CE">
        <w:t xml:space="preserve"> and watch </w:t>
      </w:r>
      <w:hyperlink r:id="rId19" w:history="1">
        <w:r w:rsidRPr="00A254CE">
          <w:rPr>
            <w:rStyle w:val="Hyperlink"/>
            <w:rFonts w:asciiTheme="majorHAnsi" w:hAnsiTheme="majorHAnsi"/>
          </w:rPr>
          <w:t>this video</w:t>
        </w:r>
      </w:hyperlink>
      <w:r w:rsidRPr="00A254CE">
        <w:t xml:space="preserve"> by the Student Awards Agency Scotland. </w:t>
      </w:r>
    </w:p>
    <w:p w14:paraId="49245C8D" w14:textId="77777777" w:rsidR="00A254CE" w:rsidRPr="000A3653" w:rsidRDefault="00A254CE" w:rsidP="000A3653">
      <w:pPr>
        <w:pStyle w:val="Head2"/>
      </w:pPr>
    </w:p>
    <w:sectPr w:rsidR="00A254CE" w:rsidRPr="000A3653" w:rsidSect="003E5728">
      <w:headerReference w:type="default" r:id="rId20"/>
      <w:footerReference w:type="default" r:id="rId21"/>
      <w:headerReference w:type="first" r:id="rId2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11F" w14:textId="77777777" w:rsidR="00965679" w:rsidRDefault="00965679" w:rsidP="00E937CA">
      <w:pPr>
        <w:spacing w:before="0" w:after="0" w:line="240" w:lineRule="auto"/>
      </w:pPr>
      <w:r>
        <w:separator/>
      </w:r>
    </w:p>
  </w:endnote>
  <w:endnote w:type="continuationSeparator" w:id="0">
    <w:p w14:paraId="2430990D" w14:textId="77777777" w:rsidR="00965679" w:rsidRDefault="00965679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2DEFB" w14:textId="18A6F660" w:rsidR="003E5728" w:rsidRDefault="00DD5FFB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708714EB" wp14:editId="3933569C">
                  <wp:simplePos x="0" y="0"/>
                  <wp:positionH relativeFrom="margin">
                    <wp:posOffset>-609600</wp:posOffset>
                  </wp:positionH>
                  <wp:positionV relativeFrom="bottomMargin">
                    <wp:posOffset>50800</wp:posOffset>
                  </wp:positionV>
                  <wp:extent cx="5924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531" y="20903"/>
                      <wp:lineTo x="21531" y="0"/>
                      <wp:lineTo x="0" y="0"/>
                    </wp:wrapPolygon>
                  </wp:wrapTight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1BCFC" w14:textId="77777777" w:rsidR="00DD5FFB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635BB4C9" w14:textId="77777777" w:rsidR="00DD5FFB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5033676D" w14:textId="77777777" w:rsidR="00DD5FFB" w:rsidRPr="000318F9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8714E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8pt;margin-top:4pt;width:466.5pt;height:4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" stroked="f">
                  <v:textbox>
                    <w:txbxContent>
                      <w:p w14:paraId="0221BCFC" w14:textId="77777777" w:rsidR="00DD5FFB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635BB4C9" w14:textId="77777777" w:rsidR="00DD5FFB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5033676D" w14:textId="77777777" w:rsidR="00DD5FFB" w:rsidRPr="000318F9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</w:p>
      <w:p w14:paraId="53655C20" w14:textId="5C8C97C3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8B2F46" wp14:editId="5C7434C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B15E3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9F1EEAA" w14:textId="33266C92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1D53" w14:textId="77777777" w:rsidR="00965679" w:rsidRDefault="00965679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4B327CE" w14:textId="77777777" w:rsidR="00965679" w:rsidRDefault="00965679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5D4" w14:textId="6A8AC1F0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CE13" w14:textId="622597BF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B7498" wp14:editId="01A03868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163522735">
    <w:abstractNumId w:val="2"/>
  </w:num>
  <w:num w:numId="2" w16cid:durableId="803348743">
    <w:abstractNumId w:val="1"/>
  </w:num>
  <w:num w:numId="3" w16cid:durableId="1051344964">
    <w:abstractNumId w:val="3"/>
  </w:num>
  <w:num w:numId="4" w16cid:durableId="177819626">
    <w:abstractNumId w:val="0"/>
  </w:num>
  <w:num w:numId="5" w16cid:durableId="597566414">
    <w:abstractNumId w:val="4"/>
  </w:num>
  <w:num w:numId="6" w16cid:durableId="19472737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02F0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3F744E"/>
    <w:rsid w:val="0042608C"/>
    <w:rsid w:val="00504B58"/>
    <w:rsid w:val="006779ED"/>
    <w:rsid w:val="006927E0"/>
    <w:rsid w:val="006C6741"/>
    <w:rsid w:val="006F1B72"/>
    <w:rsid w:val="007440A5"/>
    <w:rsid w:val="00746FFF"/>
    <w:rsid w:val="007A6FE3"/>
    <w:rsid w:val="007E353E"/>
    <w:rsid w:val="00866EC7"/>
    <w:rsid w:val="0087046E"/>
    <w:rsid w:val="008B3DD0"/>
    <w:rsid w:val="008E13AC"/>
    <w:rsid w:val="009650D2"/>
    <w:rsid w:val="00965679"/>
    <w:rsid w:val="009B7396"/>
    <w:rsid w:val="009D317A"/>
    <w:rsid w:val="009F088E"/>
    <w:rsid w:val="00A254CE"/>
    <w:rsid w:val="00B90CE8"/>
    <w:rsid w:val="00C34707"/>
    <w:rsid w:val="00C92ABA"/>
    <w:rsid w:val="00C97DED"/>
    <w:rsid w:val="00CA4412"/>
    <w:rsid w:val="00D0664D"/>
    <w:rsid w:val="00D33DD2"/>
    <w:rsid w:val="00D51ED1"/>
    <w:rsid w:val="00D65AE8"/>
    <w:rsid w:val="00DB28E9"/>
    <w:rsid w:val="00DD476E"/>
    <w:rsid w:val="00DD5FFB"/>
    <w:rsid w:val="00E937CA"/>
    <w:rsid w:val="00F3312E"/>
    <w:rsid w:val="00F57835"/>
    <w:rsid w:val="00F64421"/>
    <w:rsid w:val="00F86EA5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A6F2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5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DD476E"/>
    <w:pPr>
      <w:spacing w:before="100" w:beforeAutospacing="1" w:after="100" w:afterAutospacing="1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4CE"/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5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student-finance" TargetMode="External"/><Relationship Id="rId18" Type="http://schemas.openxmlformats.org/officeDocument/2006/relationships/hyperlink" Target="https://www.savethestudent.org/student-finance/finance-system-for-scottish-student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ucas.com/finance/additional-funding" TargetMode="External"/><Relationship Id="rId17" Type="http://schemas.openxmlformats.org/officeDocument/2006/relationships/hyperlink" Target="https://www.moneysavingexpert.com/students/student-loans-tuition-fees-changes/%22%20/l%20%22cont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entfinanceni.co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finance/undergraduate-tuition-fees-and-student-loan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tudentfinancewales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brilliantclub.org/wp-content/uploads/2021/11/Student-Finance-Resources-for-Parents-1.pdf" TargetMode="External"/><Relationship Id="rId19" Type="http://schemas.openxmlformats.org/officeDocument/2006/relationships/hyperlink" Target="https://www.youtube.com/watch?v=lqyvpBfqH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as.gov.uk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D8E4289D49C4CB91F2484C3F90535" ma:contentTypeVersion="16" ma:contentTypeDescription="Create a new document." ma:contentTypeScope="" ma:versionID="6f085d1c242b449b072d06ce5bdf87ce">
  <xsd:schema xmlns:xsd="http://www.w3.org/2001/XMLSchema" xmlns:xs="http://www.w3.org/2001/XMLSchema" xmlns:p="http://schemas.microsoft.com/office/2006/metadata/properties" xmlns:ns2="a81379b3-7c53-4406-b90d-8a3e3ad51c03" xmlns:ns3="d60db689-25f6-41e5-8f61-441024c141e9" targetNamespace="http://schemas.microsoft.com/office/2006/metadata/properties" ma:root="true" ma:fieldsID="2e7153c4d80b69b8943b3eba7fbc6681" ns2:_="" ns3:_="">
    <xsd:import namespace="a81379b3-7c53-4406-b90d-8a3e3ad51c03"/>
    <xsd:import namespace="d60db689-25f6-41e5-8f61-441024c14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79b3-7c53-4406-b90d-8a3e3ad51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b689-25f6-41e5-8f61-441024c14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960fd2-6757-4a7d-a746-81a13042cabd}" ma:internalName="TaxCatchAll" ma:showField="CatchAllData" ma:web="d60db689-25f6-41e5-8f61-441024c14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0db689-25f6-41e5-8f61-441024c141e9" xsi:nil="true"/>
    <lcf76f155ced4ddcb4097134ff3c332f xmlns="a81379b3-7c53-4406-b90d-8a3e3ad51c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6920F-8CBE-411A-8126-AA046345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379b3-7c53-4406-b90d-8a3e3ad51c03"/>
    <ds:schemaRef ds:uri="d60db689-25f6-41e5-8f61-441024c14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  <ds:schemaRef ds:uri="d60db689-25f6-41e5-8f61-441024c141e9"/>
    <ds:schemaRef ds:uri="a81379b3-7c53-4406-b90d-8a3e3ad51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Louise Gilligan</cp:lastModifiedBy>
  <cp:revision>2</cp:revision>
  <dcterms:created xsi:type="dcterms:W3CDTF">2023-03-02T17:20:00Z</dcterms:created>
  <dcterms:modified xsi:type="dcterms:W3CDTF">2023-03-02T17:20:00Z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0x010100960D8E4289D49C4CB91F2484C3F90535</vt:lpwstr>
  </property>
</Properties>
</file>